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A39" w:rsidRDefault="00C87A8E" w:rsidP="00401CF6">
      <w:pPr>
        <w:spacing w:after="0" w:line="240" w:lineRule="auto"/>
      </w:pPr>
      <w:r>
        <w:rPr>
          <w:noProof/>
        </w:rPr>
        <w:drawing>
          <wp:inline distT="0" distB="0" distL="0" distR="0">
            <wp:extent cx="53594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59400" cy="1244600"/>
                    </a:xfrm>
                    <a:prstGeom prst="rect">
                      <a:avLst/>
                    </a:prstGeom>
                    <a:noFill/>
                    <a:ln>
                      <a:noFill/>
                    </a:ln>
                  </pic:spPr>
                </pic:pic>
              </a:graphicData>
            </a:graphic>
          </wp:inline>
        </w:drawing>
      </w:r>
    </w:p>
    <w:p w:rsidR="00D61A39" w:rsidRDefault="00D61A39" w:rsidP="00401CF6">
      <w:pPr>
        <w:spacing w:after="0" w:line="240" w:lineRule="auto"/>
      </w:pPr>
    </w:p>
    <w:p w:rsidR="00D61A39" w:rsidRPr="00C07A71" w:rsidRDefault="00D61A39" w:rsidP="00C33184">
      <w:pPr>
        <w:spacing w:after="120" w:line="240" w:lineRule="auto"/>
        <w:jc w:val="center"/>
        <w:rPr>
          <w:rFonts w:ascii="Arial" w:hAnsi="Arial" w:cs="Arial"/>
          <w:b/>
          <w:i/>
          <w:sz w:val="32"/>
          <w:szCs w:val="32"/>
        </w:rPr>
      </w:pPr>
      <w:r w:rsidRPr="00C07A71">
        <w:rPr>
          <w:rFonts w:ascii="Arial" w:hAnsi="Arial" w:cs="Arial"/>
          <w:b/>
          <w:i/>
          <w:sz w:val="32"/>
          <w:szCs w:val="32"/>
        </w:rPr>
        <w:t>Government Affairs Committee (GAC)</w:t>
      </w:r>
      <w:r w:rsidR="00C33184">
        <w:rPr>
          <w:rFonts w:ascii="Arial" w:hAnsi="Arial" w:cs="Arial"/>
          <w:b/>
          <w:i/>
          <w:sz w:val="32"/>
          <w:szCs w:val="32"/>
        </w:rPr>
        <w:t xml:space="preserve"> </w:t>
      </w:r>
      <w:r w:rsidR="00377DB5">
        <w:rPr>
          <w:rFonts w:ascii="Arial" w:hAnsi="Arial" w:cs="Arial"/>
          <w:b/>
          <w:i/>
          <w:sz w:val="32"/>
          <w:szCs w:val="32"/>
        </w:rPr>
        <w:t>E</w:t>
      </w:r>
      <w:r w:rsidRPr="00C07A71">
        <w:rPr>
          <w:rFonts w:ascii="Arial" w:hAnsi="Arial" w:cs="Arial"/>
          <w:b/>
          <w:i/>
          <w:sz w:val="32"/>
          <w:szCs w:val="32"/>
        </w:rPr>
        <w:t>-newsletter</w:t>
      </w:r>
    </w:p>
    <w:p w:rsidR="00D61A39" w:rsidRPr="00AD3932" w:rsidRDefault="00D61A39" w:rsidP="00C33184">
      <w:pPr>
        <w:spacing w:after="120" w:line="240" w:lineRule="auto"/>
        <w:jc w:val="center"/>
        <w:rPr>
          <w:rFonts w:ascii="Arial" w:hAnsi="Arial" w:cs="Arial"/>
          <w:b/>
          <w:i/>
          <w:sz w:val="28"/>
          <w:szCs w:val="28"/>
        </w:rPr>
      </w:pPr>
      <w:r w:rsidRPr="00AD3932">
        <w:rPr>
          <w:rFonts w:ascii="Arial" w:hAnsi="Arial" w:cs="Arial"/>
          <w:b/>
          <w:i/>
          <w:sz w:val="28"/>
          <w:szCs w:val="28"/>
        </w:rPr>
        <w:t>Issue #</w:t>
      </w:r>
      <w:r w:rsidR="007222CD">
        <w:rPr>
          <w:rFonts w:ascii="Arial" w:hAnsi="Arial" w:cs="Arial"/>
          <w:b/>
          <w:i/>
          <w:sz w:val="28"/>
          <w:szCs w:val="28"/>
        </w:rPr>
        <w:t>14</w:t>
      </w:r>
      <w:r w:rsidRPr="00AD3932">
        <w:rPr>
          <w:rFonts w:ascii="Arial" w:hAnsi="Arial" w:cs="Arial"/>
          <w:b/>
          <w:i/>
          <w:sz w:val="28"/>
          <w:szCs w:val="28"/>
        </w:rPr>
        <w:t xml:space="preserve"> –</w:t>
      </w:r>
      <w:r w:rsidR="007222CD">
        <w:rPr>
          <w:rFonts w:ascii="Arial" w:hAnsi="Arial" w:cs="Arial"/>
          <w:b/>
          <w:i/>
          <w:sz w:val="28"/>
          <w:szCs w:val="28"/>
        </w:rPr>
        <w:t>June 2013</w:t>
      </w:r>
    </w:p>
    <w:p w:rsidR="00D61A39" w:rsidRPr="00C33184" w:rsidRDefault="00D61A39" w:rsidP="00C33184">
      <w:pPr>
        <w:spacing w:after="0"/>
        <w:rPr>
          <w:rFonts w:ascii="Arial" w:hAnsi="Arial" w:cs="Arial"/>
          <w:sz w:val="20"/>
          <w:szCs w:val="20"/>
        </w:rPr>
      </w:pPr>
      <w:r w:rsidRPr="00C33184">
        <w:rPr>
          <w:rFonts w:ascii="Arial" w:hAnsi="Arial" w:cs="Arial"/>
          <w:sz w:val="20"/>
          <w:szCs w:val="20"/>
        </w:rPr>
        <w:t xml:space="preserve">One of the strategic goals for our committee is to improve communication to the broader ASCLS membership and to provide a more consistent face to our members.  The GAC e-newsletters are also available on the </w:t>
      </w:r>
      <w:r w:rsidRPr="00C33184">
        <w:rPr>
          <w:rFonts w:ascii="Arial" w:hAnsi="Arial" w:cs="Arial"/>
          <w:b/>
          <w:i/>
          <w:sz w:val="20"/>
          <w:szCs w:val="20"/>
        </w:rPr>
        <w:t>ASCLS Advocates for You</w:t>
      </w:r>
      <w:r w:rsidRPr="00C33184">
        <w:rPr>
          <w:rFonts w:ascii="Arial" w:hAnsi="Arial" w:cs="Arial"/>
          <w:sz w:val="20"/>
          <w:szCs w:val="20"/>
        </w:rPr>
        <w:t xml:space="preserve"> section of the ASCLS website.</w:t>
      </w:r>
    </w:p>
    <w:p w:rsidR="00D61A39" w:rsidRPr="00C07A71" w:rsidRDefault="00D61A39" w:rsidP="00C33184">
      <w:pPr>
        <w:spacing w:after="0"/>
        <w:rPr>
          <w:rFonts w:ascii="Arial" w:hAnsi="Arial" w:cs="Arial"/>
          <w:b/>
          <w:i/>
          <w:sz w:val="28"/>
          <w:szCs w:val="28"/>
        </w:rPr>
      </w:pPr>
      <w:r w:rsidRPr="00C07A71">
        <w:rPr>
          <w:rFonts w:ascii="Arial" w:hAnsi="Arial" w:cs="Arial"/>
          <w:b/>
          <w:i/>
          <w:sz w:val="28"/>
          <w:szCs w:val="28"/>
        </w:rPr>
        <w:t>In this issue…</w:t>
      </w:r>
    </w:p>
    <w:p w:rsidR="00893323" w:rsidRPr="00C33184" w:rsidRDefault="007222CD" w:rsidP="004600FF">
      <w:pPr>
        <w:numPr>
          <w:ilvl w:val="0"/>
          <w:numId w:val="2"/>
        </w:numPr>
        <w:spacing w:after="0" w:line="240" w:lineRule="auto"/>
        <w:rPr>
          <w:rFonts w:ascii="Arial" w:hAnsi="Arial" w:cs="Arial"/>
          <w:sz w:val="24"/>
          <w:szCs w:val="24"/>
        </w:rPr>
      </w:pPr>
      <w:r w:rsidRPr="00C33184">
        <w:rPr>
          <w:rFonts w:ascii="Arial" w:hAnsi="Arial" w:cs="Arial"/>
          <w:sz w:val="24"/>
          <w:szCs w:val="24"/>
        </w:rPr>
        <w:t>Fixing the Sustainable Growth Rate (SGR)</w:t>
      </w:r>
    </w:p>
    <w:p w:rsidR="007222CD" w:rsidRPr="00C33184" w:rsidRDefault="007222CD" w:rsidP="007222CD">
      <w:pPr>
        <w:numPr>
          <w:ilvl w:val="0"/>
          <w:numId w:val="2"/>
        </w:numPr>
        <w:spacing w:after="0" w:line="240" w:lineRule="auto"/>
        <w:rPr>
          <w:rFonts w:ascii="Arial" w:hAnsi="Arial" w:cs="Arial"/>
          <w:sz w:val="24"/>
          <w:szCs w:val="24"/>
        </w:rPr>
      </w:pPr>
      <w:r w:rsidRPr="00C33184">
        <w:rPr>
          <w:rFonts w:ascii="Arial" w:hAnsi="Arial" w:cs="Arial"/>
          <w:sz w:val="24"/>
          <w:szCs w:val="24"/>
        </w:rPr>
        <w:t>Laboratory Impact of President Obama’s proposed fiscal 2014 budget</w:t>
      </w:r>
      <w:r w:rsidR="00893323" w:rsidRPr="00C33184">
        <w:rPr>
          <w:rFonts w:ascii="Arial" w:hAnsi="Arial" w:cs="Arial"/>
          <w:sz w:val="24"/>
          <w:szCs w:val="24"/>
        </w:rPr>
        <w:t xml:space="preserve">  </w:t>
      </w:r>
    </w:p>
    <w:p w:rsidR="00D32AC2" w:rsidRPr="00C33184" w:rsidRDefault="005C3623" w:rsidP="007222CD">
      <w:pPr>
        <w:numPr>
          <w:ilvl w:val="0"/>
          <w:numId w:val="2"/>
        </w:numPr>
        <w:spacing w:after="0" w:line="240" w:lineRule="auto"/>
        <w:rPr>
          <w:rFonts w:ascii="Arial" w:hAnsi="Arial" w:cs="Arial"/>
          <w:sz w:val="24"/>
          <w:szCs w:val="24"/>
        </w:rPr>
      </w:pPr>
      <w:r w:rsidRPr="00C33184">
        <w:rPr>
          <w:rFonts w:ascii="Arial" w:hAnsi="Arial" w:cs="Arial"/>
          <w:sz w:val="24"/>
          <w:szCs w:val="24"/>
        </w:rPr>
        <w:t xml:space="preserve">OIG Report on CMS Laboratory Payment </w:t>
      </w:r>
    </w:p>
    <w:p w:rsidR="007222CD" w:rsidRPr="00C33184" w:rsidRDefault="007222CD" w:rsidP="007222CD">
      <w:pPr>
        <w:numPr>
          <w:ilvl w:val="0"/>
          <w:numId w:val="2"/>
        </w:numPr>
        <w:spacing w:after="0" w:line="240" w:lineRule="auto"/>
        <w:rPr>
          <w:rFonts w:ascii="Arial" w:hAnsi="Arial" w:cs="Arial"/>
          <w:sz w:val="24"/>
          <w:szCs w:val="24"/>
        </w:rPr>
      </w:pPr>
      <w:r w:rsidRPr="00C33184">
        <w:rPr>
          <w:rFonts w:ascii="Arial" w:hAnsi="Arial" w:cs="Arial"/>
          <w:sz w:val="24"/>
          <w:szCs w:val="24"/>
        </w:rPr>
        <w:t>Workforce Reinvestment Act status</w:t>
      </w:r>
    </w:p>
    <w:p w:rsidR="007222CD" w:rsidRPr="00C33184" w:rsidRDefault="007222CD" w:rsidP="007222CD">
      <w:pPr>
        <w:numPr>
          <w:ilvl w:val="0"/>
          <w:numId w:val="2"/>
        </w:numPr>
        <w:spacing w:after="0" w:line="240" w:lineRule="auto"/>
        <w:rPr>
          <w:rFonts w:ascii="Arial" w:hAnsi="Arial" w:cs="Arial"/>
          <w:sz w:val="24"/>
          <w:szCs w:val="24"/>
        </w:rPr>
      </w:pPr>
      <w:r w:rsidRPr="00C33184">
        <w:rPr>
          <w:rFonts w:ascii="Arial" w:hAnsi="Arial" w:cs="Arial"/>
          <w:sz w:val="24"/>
          <w:szCs w:val="24"/>
        </w:rPr>
        <w:t>Molecular test code reimbursement</w:t>
      </w:r>
    </w:p>
    <w:p w:rsidR="00AD3932" w:rsidRDefault="00AD3932" w:rsidP="00AD3932">
      <w:pPr>
        <w:spacing w:after="0" w:line="240" w:lineRule="auto"/>
        <w:rPr>
          <w:rFonts w:ascii="Arial" w:hAnsi="Arial" w:cs="Arial"/>
          <w:sz w:val="28"/>
          <w:szCs w:val="28"/>
        </w:rPr>
      </w:pPr>
      <w:r w:rsidRPr="00C33184">
        <w:rPr>
          <w:rFonts w:ascii="Arial" w:hAnsi="Arial" w:cs="Arial"/>
          <w:sz w:val="24"/>
          <w:szCs w:val="24"/>
        </w:rPr>
        <w:t>____________________________________________________________</w:t>
      </w:r>
    </w:p>
    <w:p w:rsidR="00F355D7" w:rsidRDefault="007222CD" w:rsidP="00F355D7">
      <w:pPr>
        <w:spacing w:after="0" w:line="240" w:lineRule="auto"/>
        <w:rPr>
          <w:rFonts w:ascii="Arial" w:hAnsi="Arial" w:cs="Arial"/>
          <w:b/>
          <w:sz w:val="28"/>
          <w:szCs w:val="28"/>
        </w:rPr>
      </w:pPr>
      <w:r>
        <w:rPr>
          <w:rFonts w:ascii="Arial" w:hAnsi="Arial" w:cs="Arial"/>
          <w:b/>
          <w:sz w:val="28"/>
          <w:szCs w:val="28"/>
        </w:rPr>
        <w:t>Fixing the Sustainable Growth Rate (SGR) – Is 2013 finally the year?</w:t>
      </w:r>
    </w:p>
    <w:p w:rsidR="007222CD" w:rsidRPr="00C33184" w:rsidRDefault="007222CD" w:rsidP="007222CD">
      <w:pPr>
        <w:widowControl w:val="0"/>
        <w:autoSpaceDE w:val="0"/>
        <w:autoSpaceDN w:val="0"/>
        <w:adjustRightInd w:val="0"/>
        <w:spacing w:after="0" w:line="240" w:lineRule="auto"/>
        <w:rPr>
          <w:rFonts w:ascii="Arial" w:hAnsi="Arial" w:cs="Arial"/>
        </w:rPr>
      </w:pPr>
    </w:p>
    <w:p w:rsidR="007222CD" w:rsidRPr="00C33184" w:rsidRDefault="005D0370" w:rsidP="007222CD">
      <w:pPr>
        <w:widowControl w:val="0"/>
        <w:autoSpaceDE w:val="0"/>
        <w:autoSpaceDN w:val="0"/>
        <w:adjustRightInd w:val="0"/>
        <w:spacing w:after="0" w:line="240" w:lineRule="auto"/>
        <w:rPr>
          <w:rFonts w:ascii="Arial" w:hAnsi="Arial" w:cs="Arial"/>
        </w:rPr>
      </w:pPr>
      <w:r w:rsidRPr="00C33184">
        <w:rPr>
          <w:rFonts w:ascii="Arial" w:hAnsi="Arial" w:cs="Arial"/>
        </w:rPr>
        <w:t xml:space="preserve">With </w:t>
      </w:r>
      <w:r w:rsidR="007222CD" w:rsidRPr="00C33184">
        <w:rPr>
          <w:rFonts w:ascii="Arial" w:hAnsi="Arial" w:cs="Arial"/>
        </w:rPr>
        <w:t xml:space="preserve">House Energy and Commerce and Ways and Means committees discussing physician payment reforms, </w:t>
      </w:r>
      <w:r w:rsidR="007200D6">
        <w:rPr>
          <w:rFonts w:ascii="Arial" w:hAnsi="Arial" w:cs="Arial"/>
        </w:rPr>
        <w:t>there appears to be momentum in</w:t>
      </w:r>
      <w:r w:rsidR="007222CD" w:rsidRPr="00C33184">
        <w:rPr>
          <w:rFonts w:ascii="Arial" w:hAnsi="Arial" w:cs="Arial"/>
        </w:rPr>
        <w:t xml:space="preserve"> Congress </w:t>
      </w:r>
      <w:r w:rsidR="007200D6">
        <w:rPr>
          <w:rFonts w:ascii="Arial" w:hAnsi="Arial" w:cs="Arial"/>
        </w:rPr>
        <w:t xml:space="preserve">this year to </w:t>
      </w:r>
      <w:r w:rsidR="007222CD" w:rsidRPr="00C33184">
        <w:rPr>
          <w:rFonts w:ascii="Arial" w:hAnsi="Arial" w:cs="Arial"/>
        </w:rPr>
        <w:t xml:space="preserve">repeal the </w:t>
      </w:r>
      <w:r w:rsidR="007200D6" w:rsidRPr="00C33184">
        <w:rPr>
          <w:rFonts w:ascii="Arial" w:hAnsi="Arial" w:cs="Arial"/>
        </w:rPr>
        <w:t>Medicare's sustainable growth-rate formula (SGR)</w:t>
      </w:r>
      <w:r w:rsidR="007200D6">
        <w:rPr>
          <w:rFonts w:ascii="Arial" w:hAnsi="Arial" w:cs="Arial"/>
        </w:rPr>
        <w:t>, the</w:t>
      </w:r>
      <w:r w:rsidR="007200D6" w:rsidRPr="00C33184">
        <w:rPr>
          <w:rFonts w:ascii="Arial" w:hAnsi="Arial" w:cs="Arial"/>
        </w:rPr>
        <w:t xml:space="preserve"> </w:t>
      </w:r>
      <w:r w:rsidR="007222CD" w:rsidRPr="00C33184">
        <w:rPr>
          <w:rFonts w:ascii="Arial" w:hAnsi="Arial" w:cs="Arial"/>
        </w:rPr>
        <w:t xml:space="preserve">troublesome formula the CMS uses to </w:t>
      </w:r>
      <w:r w:rsidR="007200D6">
        <w:rPr>
          <w:rFonts w:ascii="Arial" w:hAnsi="Arial" w:cs="Arial"/>
        </w:rPr>
        <w:t>determine physician payments under</w:t>
      </w:r>
      <w:r w:rsidR="007222CD" w:rsidRPr="00C33184">
        <w:rPr>
          <w:rFonts w:ascii="Arial" w:hAnsi="Arial" w:cs="Arial"/>
        </w:rPr>
        <w:t xml:space="preserve"> Medicare</w:t>
      </w:r>
      <w:r w:rsidR="007200D6">
        <w:rPr>
          <w:rFonts w:ascii="Arial" w:hAnsi="Arial" w:cs="Arial"/>
        </w:rPr>
        <w:t xml:space="preserve"> for</w:t>
      </w:r>
      <w:r w:rsidR="007222CD" w:rsidRPr="00C33184">
        <w:rPr>
          <w:rFonts w:ascii="Arial" w:hAnsi="Arial" w:cs="Arial"/>
        </w:rPr>
        <w:t xml:space="preserve"> participating doctors</w:t>
      </w:r>
      <w:r w:rsidR="007200D6">
        <w:rPr>
          <w:rFonts w:ascii="Arial" w:hAnsi="Arial" w:cs="Arial"/>
        </w:rPr>
        <w:t>.</w:t>
      </w:r>
      <w:r w:rsidR="007222CD" w:rsidRPr="00C33184">
        <w:rPr>
          <w:rFonts w:ascii="Arial" w:hAnsi="Arial" w:cs="Arial"/>
        </w:rPr>
        <w:t xml:space="preserve">  </w:t>
      </w:r>
    </w:p>
    <w:p w:rsidR="007222CD" w:rsidRPr="00C33184" w:rsidRDefault="007222CD" w:rsidP="007222CD">
      <w:pPr>
        <w:widowControl w:val="0"/>
        <w:autoSpaceDE w:val="0"/>
        <w:autoSpaceDN w:val="0"/>
        <w:adjustRightInd w:val="0"/>
        <w:spacing w:after="0" w:line="240" w:lineRule="auto"/>
        <w:rPr>
          <w:rFonts w:ascii="Arial" w:hAnsi="Arial" w:cs="Arial"/>
          <w:bCs/>
          <w:sz w:val="24"/>
          <w:szCs w:val="24"/>
        </w:rPr>
      </w:pPr>
    </w:p>
    <w:p w:rsidR="007222CD" w:rsidRPr="00C33184" w:rsidRDefault="007222CD" w:rsidP="007222CD">
      <w:pPr>
        <w:widowControl w:val="0"/>
        <w:autoSpaceDE w:val="0"/>
        <w:autoSpaceDN w:val="0"/>
        <w:adjustRightInd w:val="0"/>
        <w:spacing w:after="0" w:line="240" w:lineRule="auto"/>
        <w:rPr>
          <w:rFonts w:ascii="Arial" w:hAnsi="Arial" w:cs="Arial"/>
          <w:b/>
          <w:bCs/>
          <w:color w:val="FFFFFF"/>
        </w:rPr>
      </w:pPr>
      <w:r w:rsidRPr="00C33184">
        <w:rPr>
          <w:rFonts w:ascii="Arial" w:hAnsi="Arial" w:cs="Arial"/>
          <w:bCs/>
        </w:rPr>
        <w:t>I</w:t>
      </w:r>
      <w:r w:rsidRPr="00C33184">
        <w:rPr>
          <w:rFonts w:ascii="Arial" w:hAnsi="Arial" w:cs="Arial"/>
          <w:u w:color="1B3C84"/>
        </w:rPr>
        <w:t xml:space="preserve">n April the House committees added details to </w:t>
      </w:r>
      <w:r w:rsidR="007200D6">
        <w:rPr>
          <w:rFonts w:ascii="Arial" w:hAnsi="Arial" w:cs="Arial"/>
          <w:u w:color="1B3C84"/>
        </w:rPr>
        <w:t xml:space="preserve">a plan that </w:t>
      </w:r>
      <w:proofErr w:type="spellStart"/>
      <w:r w:rsidR="007200D6">
        <w:rPr>
          <w:rFonts w:ascii="Arial" w:hAnsi="Arial" w:cs="Arial"/>
          <w:u w:color="1B3C84"/>
        </w:rPr>
        <w:t>MedPAC</w:t>
      </w:r>
      <w:proofErr w:type="spellEnd"/>
      <w:r w:rsidR="007200D6">
        <w:rPr>
          <w:rFonts w:ascii="Arial" w:hAnsi="Arial" w:cs="Arial"/>
          <w:u w:color="1B3C84"/>
        </w:rPr>
        <w:t>, a committee that advises Congress on Medicare policy, had included in their latest report</w:t>
      </w:r>
      <w:r w:rsidRPr="00C33184">
        <w:rPr>
          <w:rFonts w:ascii="Arial" w:hAnsi="Arial" w:cs="Arial"/>
          <w:u w:color="1B3C84"/>
        </w:rPr>
        <w:t xml:space="preserve"> and sought feedback from the physician community. The Energy and Commerce </w:t>
      </w:r>
      <w:r w:rsidR="007200D6">
        <w:rPr>
          <w:rFonts w:ascii="Arial" w:hAnsi="Arial" w:cs="Arial"/>
          <w:u w:color="1B3C84"/>
        </w:rPr>
        <w:t>C</w:t>
      </w:r>
      <w:r w:rsidRPr="00C33184">
        <w:rPr>
          <w:rFonts w:ascii="Arial" w:hAnsi="Arial" w:cs="Arial"/>
          <w:u w:color="1B3C84"/>
        </w:rPr>
        <w:t>ommittee has now drafted legislation and is holding hearings on this topic.  Although the two congressional committees are working together for a solution, Energy and Commerce is the committee of jurisdiction and is finally working toward a permanent fix for the SGR.</w:t>
      </w:r>
    </w:p>
    <w:p w:rsidR="007222CD" w:rsidRDefault="007222CD" w:rsidP="007222CD">
      <w:pPr>
        <w:widowControl w:val="0"/>
        <w:autoSpaceDE w:val="0"/>
        <w:autoSpaceDN w:val="0"/>
        <w:adjustRightInd w:val="0"/>
        <w:spacing w:after="0" w:line="240" w:lineRule="auto"/>
        <w:rPr>
          <w:rFonts w:ascii="Arial" w:hAnsi="Arial" w:cs="Arial"/>
          <w:sz w:val="24"/>
          <w:szCs w:val="24"/>
          <w:u w:color="1B3C84"/>
        </w:rPr>
      </w:pPr>
    </w:p>
    <w:p w:rsidR="00F60FA2" w:rsidRPr="00C33184" w:rsidRDefault="007222CD" w:rsidP="007222CD">
      <w:pPr>
        <w:widowControl w:val="0"/>
        <w:autoSpaceDE w:val="0"/>
        <w:autoSpaceDN w:val="0"/>
        <w:adjustRightInd w:val="0"/>
        <w:spacing w:after="0" w:line="240" w:lineRule="auto"/>
        <w:rPr>
          <w:rFonts w:ascii="Arial" w:hAnsi="Arial" w:cs="Arial"/>
          <w:u w:color="1B3C84"/>
        </w:rPr>
      </w:pPr>
      <w:r w:rsidRPr="00C33184">
        <w:rPr>
          <w:rFonts w:ascii="Arial" w:hAnsi="Arial" w:cs="Arial"/>
          <w:u w:color="1B3C84"/>
        </w:rPr>
        <w:t>The committee</w:t>
      </w:r>
      <w:r w:rsidR="00F60FA2" w:rsidRPr="00C33184">
        <w:rPr>
          <w:rFonts w:ascii="Arial" w:hAnsi="Arial" w:cs="Arial"/>
          <w:u w:color="1B3C84"/>
        </w:rPr>
        <w:t xml:space="preserve">’s bill would </w:t>
      </w:r>
      <w:r w:rsidR="00873499">
        <w:rPr>
          <w:rFonts w:ascii="Arial" w:hAnsi="Arial" w:cs="Arial"/>
          <w:u w:color="1B3C84"/>
        </w:rPr>
        <w:t xml:space="preserve">establish </w:t>
      </w:r>
      <w:r w:rsidRPr="00C33184">
        <w:rPr>
          <w:rFonts w:ascii="Arial" w:hAnsi="Arial" w:cs="Arial"/>
          <w:u w:color="1B3C84"/>
        </w:rPr>
        <w:t>three phases</w:t>
      </w:r>
      <w:r w:rsidR="00873499">
        <w:rPr>
          <w:rFonts w:ascii="Arial" w:hAnsi="Arial" w:cs="Arial"/>
          <w:u w:color="1B3C84"/>
        </w:rPr>
        <w:t xml:space="preserve"> </w:t>
      </w:r>
      <w:r w:rsidR="005E611A">
        <w:rPr>
          <w:rFonts w:ascii="Arial" w:hAnsi="Arial" w:cs="Arial"/>
          <w:u w:color="1B3C84"/>
        </w:rPr>
        <w:t>to transition from the SGR</w:t>
      </w:r>
      <w:r w:rsidRPr="00C33184">
        <w:rPr>
          <w:rFonts w:ascii="Arial" w:hAnsi="Arial" w:cs="Arial"/>
          <w:u w:color="1B3C84"/>
        </w:rPr>
        <w:t xml:space="preserve">: </w:t>
      </w:r>
    </w:p>
    <w:p w:rsidR="00F60FA2" w:rsidRPr="00C33184" w:rsidRDefault="007222CD" w:rsidP="00F60FA2">
      <w:pPr>
        <w:pStyle w:val="ListParagraph"/>
        <w:widowControl w:val="0"/>
        <w:numPr>
          <w:ilvl w:val="0"/>
          <w:numId w:val="13"/>
        </w:numPr>
        <w:autoSpaceDE w:val="0"/>
        <w:autoSpaceDN w:val="0"/>
        <w:adjustRightInd w:val="0"/>
        <w:spacing w:after="0" w:line="240" w:lineRule="auto"/>
        <w:rPr>
          <w:rFonts w:ascii="Arial" w:hAnsi="Arial" w:cs="Arial"/>
          <w:u w:color="1B3C84"/>
        </w:rPr>
      </w:pPr>
      <w:r w:rsidRPr="00C33184">
        <w:rPr>
          <w:rFonts w:ascii="Arial" w:hAnsi="Arial" w:cs="Arial"/>
          <w:u w:color="1B3C84"/>
        </w:rPr>
        <w:t>a period of payment stability and development of an im</w:t>
      </w:r>
      <w:r w:rsidR="00F60FA2" w:rsidRPr="00C33184">
        <w:rPr>
          <w:rFonts w:ascii="Arial" w:hAnsi="Arial" w:cs="Arial"/>
          <w:u w:color="1B3C84"/>
        </w:rPr>
        <w:t>proved fee-for-service program</w:t>
      </w:r>
    </w:p>
    <w:p w:rsidR="00F60FA2" w:rsidRPr="00C33184" w:rsidRDefault="00F60FA2" w:rsidP="00F60FA2">
      <w:pPr>
        <w:pStyle w:val="ListParagraph"/>
        <w:widowControl w:val="0"/>
        <w:numPr>
          <w:ilvl w:val="0"/>
          <w:numId w:val="13"/>
        </w:numPr>
        <w:autoSpaceDE w:val="0"/>
        <w:autoSpaceDN w:val="0"/>
        <w:adjustRightInd w:val="0"/>
        <w:spacing w:after="0" w:line="240" w:lineRule="auto"/>
        <w:rPr>
          <w:rFonts w:ascii="Arial" w:hAnsi="Arial" w:cs="Arial"/>
          <w:u w:color="1B3C84"/>
        </w:rPr>
      </w:pPr>
      <w:r w:rsidRPr="00C33184">
        <w:rPr>
          <w:rFonts w:ascii="Arial" w:hAnsi="Arial" w:cs="Arial"/>
          <w:u w:color="1B3C84"/>
        </w:rPr>
        <w:t>applying quality measurement to payments</w:t>
      </w:r>
    </w:p>
    <w:p w:rsidR="007222CD" w:rsidRPr="00C33184" w:rsidRDefault="00F60FA2" w:rsidP="007222CD">
      <w:pPr>
        <w:pStyle w:val="ListParagraph"/>
        <w:widowControl w:val="0"/>
        <w:numPr>
          <w:ilvl w:val="0"/>
          <w:numId w:val="13"/>
        </w:numPr>
        <w:autoSpaceDE w:val="0"/>
        <w:autoSpaceDN w:val="0"/>
        <w:adjustRightInd w:val="0"/>
        <w:spacing w:after="0" w:line="240" w:lineRule="auto"/>
        <w:rPr>
          <w:rFonts w:ascii="Arial" w:hAnsi="Arial" w:cs="Arial"/>
          <w:u w:color="1B3C84"/>
        </w:rPr>
      </w:pPr>
      <w:r w:rsidRPr="00C33184">
        <w:rPr>
          <w:rFonts w:ascii="Arial" w:hAnsi="Arial" w:cs="Arial"/>
          <w:u w:color="1B3C84"/>
        </w:rPr>
        <w:t xml:space="preserve">an “opt-out” provision to allow providers </w:t>
      </w:r>
      <w:r w:rsidR="007222CD" w:rsidRPr="00C33184">
        <w:rPr>
          <w:rFonts w:ascii="Arial" w:hAnsi="Arial" w:cs="Arial"/>
          <w:u w:color="1B3C84"/>
        </w:rPr>
        <w:t>to move to an alternative payment model, such as an accountable care organization or a patient-centered medical home.</w:t>
      </w:r>
    </w:p>
    <w:p w:rsidR="00F60FA2" w:rsidRPr="00C33184" w:rsidRDefault="00F60FA2" w:rsidP="00F60FA2">
      <w:pPr>
        <w:pStyle w:val="ListParagraph"/>
        <w:widowControl w:val="0"/>
        <w:autoSpaceDE w:val="0"/>
        <w:autoSpaceDN w:val="0"/>
        <w:adjustRightInd w:val="0"/>
        <w:spacing w:after="0" w:line="240" w:lineRule="auto"/>
        <w:rPr>
          <w:rFonts w:ascii="Arial" w:hAnsi="Arial" w:cs="Arial"/>
          <w:u w:color="1B3C84"/>
        </w:rPr>
      </w:pPr>
    </w:p>
    <w:p w:rsidR="007222CD" w:rsidRDefault="00F60FA2" w:rsidP="007222CD">
      <w:pPr>
        <w:widowControl w:val="0"/>
        <w:autoSpaceDE w:val="0"/>
        <w:autoSpaceDN w:val="0"/>
        <w:adjustRightInd w:val="0"/>
        <w:spacing w:after="0" w:line="240" w:lineRule="auto"/>
        <w:rPr>
          <w:rFonts w:ascii="Arial" w:hAnsi="Arial" w:cs="Arial"/>
          <w:u w:color="1B3C84"/>
        </w:rPr>
      </w:pPr>
      <w:r w:rsidRPr="00C33184">
        <w:rPr>
          <w:rFonts w:ascii="Arial" w:hAnsi="Arial" w:cs="Arial"/>
          <w:u w:color="1B3C84"/>
        </w:rPr>
        <w:t>The period of stability would call for some small increase in payments during the first few years, with a possible differential for primary care physicians.  What has not yet been defined is how the fix would be paid for and that is a concern for the clinical laboratory</w:t>
      </w:r>
      <w:r w:rsidR="00270CF9">
        <w:rPr>
          <w:rFonts w:ascii="Arial" w:hAnsi="Arial" w:cs="Arial"/>
          <w:u w:color="1B3C84"/>
        </w:rPr>
        <w:t xml:space="preserve"> because recent history tells us that Congress keeps cutting us to pay for such fixes</w:t>
      </w:r>
      <w:r w:rsidRPr="00C33184">
        <w:rPr>
          <w:rFonts w:ascii="Arial" w:hAnsi="Arial" w:cs="Arial"/>
          <w:u w:color="1B3C84"/>
        </w:rPr>
        <w:t>.  T</w:t>
      </w:r>
      <w:r w:rsidR="007222CD" w:rsidRPr="00C33184">
        <w:rPr>
          <w:rFonts w:ascii="Arial" w:hAnsi="Arial" w:cs="Arial"/>
          <w:u w:color="1B3C84"/>
        </w:rPr>
        <w:t>he Congressional Budget Office now estimates</w:t>
      </w:r>
      <w:r w:rsidRPr="00C33184">
        <w:rPr>
          <w:rFonts w:ascii="Arial" w:hAnsi="Arial" w:cs="Arial"/>
          <w:u w:color="1B3C84"/>
        </w:rPr>
        <w:t xml:space="preserve"> a fix</w:t>
      </w:r>
      <w:r w:rsidR="007222CD" w:rsidRPr="00C33184">
        <w:rPr>
          <w:rFonts w:ascii="Arial" w:hAnsi="Arial" w:cs="Arial"/>
          <w:u w:color="1B3C84"/>
        </w:rPr>
        <w:t xml:space="preserve"> will cost about $13</w:t>
      </w:r>
      <w:r w:rsidRPr="00C33184">
        <w:rPr>
          <w:rFonts w:ascii="Arial" w:hAnsi="Arial" w:cs="Arial"/>
          <w:u w:color="1B3C84"/>
        </w:rPr>
        <w:t>9 billion over the next decade. The goal is to try to repeal the current SGR methodology before the August congressional break.</w:t>
      </w:r>
    </w:p>
    <w:p w:rsidR="00270CF9" w:rsidRDefault="00270CF9" w:rsidP="00270CF9">
      <w:pPr>
        <w:pStyle w:val="PlainText"/>
        <w:ind w:left="2160"/>
      </w:pPr>
      <w:r>
        <w:t xml:space="preserve">SGR </w:t>
      </w:r>
      <w:hyperlink r:id="rId7" w:history="1">
        <w:r>
          <w:rPr>
            <w:rStyle w:val="Hyperlink"/>
          </w:rPr>
          <w:t>www.modernhealthcare.com/article/20130621/NEWS/</w:t>
        </w:r>
      </w:hyperlink>
    </w:p>
    <w:p w:rsidR="00270CF9" w:rsidRDefault="00270CF9" w:rsidP="00270CF9">
      <w:pPr>
        <w:pStyle w:val="PlainText"/>
        <w:ind w:left="2160"/>
      </w:pPr>
    </w:p>
    <w:p w:rsidR="00270CF9" w:rsidRDefault="00270CF9" w:rsidP="00270CF9">
      <w:pPr>
        <w:pStyle w:val="PlainText"/>
        <w:ind w:left="2160"/>
        <w:rPr>
          <w:color w:val="1F497D"/>
        </w:rPr>
      </w:pPr>
      <w:r>
        <w:t xml:space="preserve">SGR </w:t>
      </w:r>
      <w:hyperlink r:id="rId8" w:history="1">
        <w:r>
          <w:rPr>
            <w:rStyle w:val="Hyperlink"/>
          </w:rPr>
          <w:t>www.modernhealthcare.com/article/20130604/NEWS/</w:t>
        </w:r>
      </w:hyperlink>
    </w:p>
    <w:p w:rsidR="007222CD" w:rsidRPr="00C33184" w:rsidRDefault="007222CD" w:rsidP="007222CD">
      <w:pPr>
        <w:widowControl w:val="0"/>
        <w:autoSpaceDE w:val="0"/>
        <w:autoSpaceDN w:val="0"/>
        <w:adjustRightInd w:val="0"/>
        <w:spacing w:after="0" w:line="240" w:lineRule="auto"/>
        <w:rPr>
          <w:rFonts w:ascii="Arial" w:hAnsi="Arial" w:cs="Arial"/>
          <w:u w:color="1B3C84"/>
        </w:rPr>
      </w:pPr>
    </w:p>
    <w:p w:rsidR="00893323" w:rsidRDefault="00F60FA2" w:rsidP="007222CD">
      <w:pPr>
        <w:widowControl w:val="0"/>
        <w:pBdr>
          <w:bottom w:val="single" w:sz="12" w:space="1" w:color="auto"/>
        </w:pBdr>
        <w:autoSpaceDE w:val="0"/>
        <w:autoSpaceDN w:val="0"/>
        <w:adjustRightInd w:val="0"/>
        <w:spacing w:after="0" w:line="240" w:lineRule="auto"/>
        <w:rPr>
          <w:rFonts w:ascii="Arial" w:hAnsi="Arial" w:cs="Arial"/>
          <w:u w:color="1B3C84"/>
        </w:rPr>
      </w:pPr>
      <w:r w:rsidRPr="00C33184">
        <w:rPr>
          <w:rFonts w:ascii="Arial" w:hAnsi="Arial" w:cs="Arial"/>
          <w:u w:color="1B3C84"/>
        </w:rPr>
        <w:t>ASCLS will be watching potential legislative action and paying particular attention to how</w:t>
      </w:r>
      <w:r>
        <w:rPr>
          <w:rFonts w:ascii="Arial" w:hAnsi="Arial" w:cs="Arial"/>
          <w:sz w:val="24"/>
          <w:szCs w:val="24"/>
          <w:u w:color="1B3C84"/>
        </w:rPr>
        <w:t xml:space="preserve"> </w:t>
      </w:r>
      <w:r w:rsidRPr="00C33184">
        <w:rPr>
          <w:rFonts w:ascii="Arial" w:hAnsi="Arial" w:cs="Arial"/>
          <w:u w:color="1B3C84"/>
        </w:rPr>
        <w:t>the fix might impact laboratory reimbursement levels.</w:t>
      </w:r>
    </w:p>
    <w:p w:rsidR="00270CF9" w:rsidRPr="00C33184" w:rsidRDefault="00270CF9" w:rsidP="007222CD">
      <w:pPr>
        <w:widowControl w:val="0"/>
        <w:pBdr>
          <w:bottom w:val="single" w:sz="12" w:space="1" w:color="auto"/>
        </w:pBdr>
        <w:autoSpaceDE w:val="0"/>
        <w:autoSpaceDN w:val="0"/>
        <w:adjustRightInd w:val="0"/>
        <w:spacing w:after="0" w:line="240" w:lineRule="auto"/>
        <w:rPr>
          <w:rFonts w:ascii="Arial" w:hAnsi="Arial" w:cs="Arial"/>
          <w:u w:color="1B3C84"/>
        </w:rPr>
      </w:pPr>
    </w:p>
    <w:p w:rsidR="000B2160" w:rsidRPr="00C33184" w:rsidRDefault="00F60FA2" w:rsidP="00C33184">
      <w:pPr>
        <w:spacing w:after="0" w:line="240" w:lineRule="auto"/>
        <w:rPr>
          <w:rFonts w:ascii="Arial" w:hAnsi="Arial" w:cs="Arial"/>
          <w:sz w:val="28"/>
          <w:szCs w:val="28"/>
        </w:rPr>
      </w:pPr>
      <w:r w:rsidRPr="003C00C5">
        <w:rPr>
          <w:rFonts w:ascii="Arial" w:hAnsi="Arial" w:cs="Arial"/>
          <w:b/>
          <w:sz w:val="28"/>
          <w:szCs w:val="28"/>
        </w:rPr>
        <w:t xml:space="preserve">Laboratory Impact of President Obama’s proposed fiscal 2014 budget  </w:t>
      </w:r>
    </w:p>
    <w:p w:rsidR="00270CF9" w:rsidRDefault="00270CF9" w:rsidP="000B2160">
      <w:pPr>
        <w:spacing w:line="240" w:lineRule="auto"/>
        <w:rPr>
          <w:rFonts w:ascii="Arial" w:hAnsi="Arial" w:cs="Arial"/>
        </w:rPr>
      </w:pPr>
    </w:p>
    <w:p w:rsidR="000B2160" w:rsidRDefault="000B2160" w:rsidP="00486CC2">
      <w:pPr>
        <w:spacing w:after="0" w:line="240" w:lineRule="auto"/>
        <w:rPr>
          <w:rFonts w:ascii="Arial" w:hAnsi="Arial" w:cs="Arial"/>
        </w:rPr>
      </w:pPr>
      <w:r w:rsidRPr="00C33184">
        <w:rPr>
          <w:rFonts w:ascii="Arial" w:hAnsi="Arial" w:cs="Arial"/>
        </w:rPr>
        <w:t>The Clinical Laboratory Coalition (CLC), of which ASCLS is a member,</w:t>
      </w:r>
      <w:r w:rsidR="005D0370" w:rsidRPr="00C33184">
        <w:rPr>
          <w:rFonts w:ascii="Arial" w:hAnsi="Arial" w:cs="Arial"/>
        </w:rPr>
        <w:t xml:space="preserve"> is urging </w:t>
      </w:r>
      <w:r w:rsidRPr="00C33184">
        <w:rPr>
          <w:rFonts w:ascii="Arial" w:hAnsi="Arial" w:cs="Arial"/>
        </w:rPr>
        <w:t>Senators’ Max Baucus (D-MT) and Orrin Hatch (R-UT) on the Finance Committee to reject a proposed 14 percent cut in the Medical clinical labora</w:t>
      </w:r>
      <w:r w:rsidR="00265F28">
        <w:rPr>
          <w:rFonts w:ascii="Arial" w:hAnsi="Arial" w:cs="Arial"/>
        </w:rPr>
        <w:t>tory fee schedule (CLFS) over</w:t>
      </w:r>
      <w:r w:rsidRPr="00C33184">
        <w:rPr>
          <w:rFonts w:ascii="Arial" w:hAnsi="Arial" w:cs="Arial"/>
        </w:rPr>
        <w:t xml:space="preserve"> 10 year</w:t>
      </w:r>
      <w:r w:rsidR="00265F28">
        <w:rPr>
          <w:rFonts w:ascii="Arial" w:hAnsi="Arial" w:cs="Arial"/>
        </w:rPr>
        <w:t>s</w:t>
      </w:r>
      <w:r w:rsidRPr="00C33184">
        <w:rPr>
          <w:rFonts w:ascii="Arial" w:hAnsi="Arial" w:cs="Arial"/>
        </w:rPr>
        <w:t>. This proposal is contained in President Obama’s proposed budget request to Congress for fiscal year 2014 that begins on October 1, 2013.  The propos</w:t>
      </w:r>
      <w:r w:rsidR="00265F28">
        <w:rPr>
          <w:rFonts w:ascii="Arial" w:hAnsi="Arial" w:cs="Arial"/>
        </w:rPr>
        <w:t>ed</w:t>
      </w:r>
      <w:r w:rsidRPr="00C33184">
        <w:rPr>
          <w:rFonts w:ascii="Arial" w:hAnsi="Arial" w:cs="Arial"/>
        </w:rPr>
        <w:t xml:space="preserve"> reduction in the CLFS reimbursement </w:t>
      </w:r>
      <w:r w:rsidR="00265F28">
        <w:rPr>
          <w:rFonts w:ascii="Arial" w:hAnsi="Arial" w:cs="Arial"/>
        </w:rPr>
        <w:t>will</w:t>
      </w:r>
      <w:r w:rsidRPr="00C33184">
        <w:rPr>
          <w:rFonts w:ascii="Arial" w:hAnsi="Arial" w:cs="Arial"/>
        </w:rPr>
        <w:t xml:space="preserve"> </w:t>
      </w:r>
      <w:r w:rsidR="00265F28">
        <w:rPr>
          <w:rFonts w:ascii="Arial" w:hAnsi="Arial" w:cs="Arial"/>
        </w:rPr>
        <w:t>total</w:t>
      </w:r>
      <w:r w:rsidRPr="00C33184">
        <w:rPr>
          <w:rFonts w:ascii="Arial" w:hAnsi="Arial" w:cs="Arial"/>
        </w:rPr>
        <w:t xml:space="preserve"> approximately $9.46 billion over this 10 year timeframe.  </w:t>
      </w:r>
    </w:p>
    <w:p w:rsidR="00486CC2" w:rsidRPr="00C33184" w:rsidRDefault="00486CC2" w:rsidP="00486CC2">
      <w:pPr>
        <w:spacing w:after="0" w:line="240" w:lineRule="auto"/>
        <w:rPr>
          <w:rFonts w:ascii="Arial" w:hAnsi="Arial" w:cs="Arial"/>
        </w:rPr>
      </w:pPr>
    </w:p>
    <w:p w:rsidR="000B2160" w:rsidRDefault="000B2160" w:rsidP="00486CC2">
      <w:pPr>
        <w:spacing w:after="0" w:line="240" w:lineRule="auto"/>
        <w:rPr>
          <w:rFonts w:ascii="Arial" w:hAnsi="Arial" w:cs="Arial"/>
        </w:rPr>
      </w:pPr>
      <w:r w:rsidRPr="00C33184">
        <w:rPr>
          <w:rFonts w:ascii="Arial" w:hAnsi="Arial" w:cs="Arial"/>
        </w:rPr>
        <w:t>Essentially, what the administration is calling for is an extension of the 1.75% cut in clinical laboratory fee schedule reimbursement that was implemented to help pay for healthcare reform (The Accountable Care Act).  This decrease was to be limited to 5 years.  President Obama’s proposed budget would extend the 1.75% cut for an additional 10 years.</w:t>
      </w:r>
    </w:p>
    <w:p w:rsidR="00265F28" w:rsidRPr="00C33184" w:rsidRDefault="00265F28" w:rsidP="00265F28">
      <w:pPr>
        <w:spacing w:after="0"/>
        <w:rPr>
          <w:rFonts w:ascii="Arial" w:hAnsi="Arial" w:cs="Arial"/>
        </w:rPr>
      </w:pPr>
    </w:p>
    <w:p w:rsidR="000B2160" w:rsidRPr="00C33184" w:rsidRDefault="000B2160" w:rsidP="00486CC2">
      <w:pPr>
        <w:pBdr>
          <w:bottom w:val="single" w:sz="12" w:space="1" w:color="auto"/>
        </w:pBdr>
        <w:spacing w:after="0" w:line="240" w:lineRule="auto"/>
        <w:rPr>
          <w:rFonts w:ascii="Arial" w:hAnsi="Arial" w:cs="Arial"/>
        </w:rPr>
      </w:pPr>
      <w:r w:rsidRPr="00C33184">
        <w:rPr>
          <w:rFonts w:ascii="Arial" w:hAnsi="Arial" w:cs="Arial"/>
        </w:rPr>
        <w:t>Please be aware that this is a “proposed” budget</w:t>
      </w:r>
      <w:r w:rsidR="00265F28">
        <w:rPr>
          <w:rFonts w:ascii="Arial" w:hAnsi="Arial" w:cs="Arial"/>
        </w:rPr>
        <w:t xml:space="preserve">; </w:t>
      </w:r>
      <w:r w:rsidRPr="00C33184">
        <w:rPr>
          <w:rFonts w:ascii="Arial" w:hAnsi="Arial" w:cs="Arial"/>
        </w:rPr>
        <w:t xml:space="preserve">both </w:t>
      </w:r>
      <w:r w:rsidR="00265F28">
        <w:rPr>
          <w:rFonts w:ascii="Arial" w:hAnsi="Arial" w:cs="Arial"/>
        </w:rPr>
        <w:t>chambers</w:t>
      </w:r>
      <w:r w:rsidRPr="00C33184">
        <w:rPr>
          <w:rFonts w:ascii="Arial" w:hAnsi="Arial" w:cs="Arial"/>
        </w:rPr>
        <w:t xml:space="preserve"> of Congress would need to </w:t>
      </w:r>
      <w:r w:rsidR="00486CC2">
        <w:rPr>
          <w:rFonts w:ascii="Arial" w:hAnsi="Arial" w:cs="Arial"/>
        </w:rPr>
        <w:t>approve the budget as presented and that never happens</w:t>
      </w:r>
      <w:r w:rsidRPr="00C33184">
        <w:rPr>
          <w:rFonts w:ascii="Arial" w:hAnsi="Arial" w:cs="Arial"/>
        </w:rPr>
        <w:t xml:space="preserve">.  At this time </w:t>
      </w:r>
      <w:r w:rsidR="00486CC2">
        <w:rPr>
          <w:rFonts w:ascii="Arial" w:hAnsi="Arial" w:cs="Arial"/>
        </w:rPr>
        <w:t>we consider the President’s proposal to be</w:t>
      </w:r>
      <w:r w:rsidRPr="00C33184">
        <w:rPr>
          <w:rFonts w:ascii="Arial" w:hAnsi="Arial" w:cs="Arial"/>
        </w:rPr>
        <w:t xml:space="preserve"> </w:t>
      </w:r>
      <w:r w:rsidR="00486CC2">
        <w:rPr>
          <w:rFonts w:ascii="Arial" w:hAnsi="Arial" w:cs="Arial"/>
        </w:rPr>
        <w:t>another indicator</w:t>
      </w:r>
      <w:r w:rsidRPr="00C33184">
        <w:rPr>
          <w:rFonts w:ascii="Arial" w:hAnsi="Arial" w:cs="Arial"/>
        </w:rPr>
        <w:t xml:space="preserve"> of </w:t>
      </w:r>
      <w:r w:rsidR="00486CC2">
        <w:rPr>
          <w:rFonts w:ascii="Arial" w:hAnsi="Arial" w:cs="Arial"/>
        </w:rPr>
        <w:t xml:space="preserve">the </w:t>
      </w:r>
      <w:r w:rsidRPr="00C33184">
        <w:rPr>
          <w:rFonts w:ascii="Arial" w:hAnsi="Arial" w:cs="Arial"/>
        </w:rPr>
        <w:t xml:space="preserve">potential </w:t>
      </w:r>
      <w:r w:rsidR="00486CC2">
        <w:rPr>
          <w:rFonts w:ascii="Arial" w:hAnsi="Arial" w:cs="Arial"/>
        </w:rPr>
        <w:t xml:space="preserve">for more cuts </w:t>
      </w:r>
      <w:r w:rsidRPr="00C33184">
        <w:rPr>
          <w:rFonts w:ascii="Arial" w:hAnsi="Arial" w:cs="Arial"/>
        </w:rPr>
        <w:t xml:space="preserve">to clinical laboratory </w:t>
      </w:r>
      <w:r w:rsidR="00486CC2">
        <w:rPr>
          <w:rFonts w:ascii="Arial" w:hAnsi="Arial" w:cs="Arial"/>
        </w:rPr>
        <w:t>reimbursement</w:t>
      </w:r>
      <w:r w:rsidRPr="00C33184">
        <w:rPr>
          <w:rFonts w:ascii="Arial" w:hAnsi="Arial" w:cs="Arial"/>
        </w:rPr>
        <w:t>.</w:t>
      </w:r>
    </w:p>
    <w:p w:rsidR="00D32AC2" w:rsidRDefault="00D32AC2" w:rsidP="005C3623">
      <w:pPr>
        <w:widowControl w:val="0"/>
        <w:autoSpaceDE w:val="0"/>
        <w:autoSpaceDN w:val="0"/>
        <w:adjustRightInd w:val="0"/>
        <w:spacing w:after="0" w:line="192" w:lineRule="atLeast"/>
        <w:rPr>
          <w:rFonts w:ascii="Arial" w:hAnsi="Arial" w:cs="Arial"/>
          <w:sz w:val="28"/>
          <w:szCs w:val="28"/>
        </w:rPr>
      </w:pPr>
      <w:r w:rsidRPr="00D32AC2">
        <w:rPr>
          <w:rFonts w:ascii="Arial" w:hAnsi="Arial" w:cs="Arial"/>
          <w:b/>
          <w:sz w:val="28"/>
          <w:szCs w:val="28"/>
        </w:rPr>
        <w:t xml:space="preserve">OIG Report on Laboratory Payment: </w:t>
      </w:r>
      <w:r w:rsidRPr="00D32AC2">
        <w:rPr>
          <w:rFonts w:ascii="Arial" w:hAnsi="Arial" w:cs="Arial"/>
          <w:sz w:val="28"/>
          <w:szCs w:val="28"/>
        </w:rPr>
        <w:t xml:space="preserve"> </w:t>
      </w:r>
    </w:p>
    <w:p w:rsidR="00C33184" w:rsidRPr="00C33184" w:rsidRDefault="00C33184" w:rsidP="005C3623">
      <w:pPr>
        <w:widowControl w:val="0"/>
        <w:autoSpaceDE w:val="0"/>
        <w:autoSpaceDN w:val="0"/>
        <w:adjustRightInd w:val="0"/>
        <w:spacing w:after="0" w:line="192" w:lineRule="atLeast"/>
        <w:rPr>
          <w:rFonts w:ascii="Arial" w:hAnsi="Arial" w:cs="Arial"/>
        </w:rPr>
      </w:pPr>
    </w:p>
    <w:p w:rsidR="00D32AC2" w:rsidRPr="00C33184" w:rsidRDefault="00D32AC2" w:rsidP="00D32AC2">
      <w:pPr>
        <w:widowControl w:val="0"/>
        <w:autoSpaceDE w:val="0"/>
        <w:autoSpaceDN w:val="0"/>
        <w:adjustRightInd w:val="0"/>
        <w:spacing w:line="192" w:lineRule="atLeast"/>
        <w:rPr>
          <w:rFonts w:ascii="Arial" w:hAnsi="Arial" w:cs="Arial"/>
        </w:rPr>
      </w:pPr>
      <w:r w:rsidRPr="00C33184">
        <w:rPr>
          <w:rFonts w:ascii="Arial" w:hAnsi="Arial" w:cs="Arial"/>
        </w:rPr>
        <w:t>The Department of Health and Human Services’ Office of Inspector General (OIG) released a report “</w:t>
      </w:r>
      <w:r w:rsidRPr="00C33184">
        <w:rPr>
          <w:rFonts w:ascii="Arial" w:hAnsi="Arial" w:cs="Arial"/>
          <w:i/>
        </w:rPr>
        <w:t xml:space="preserve">Comparing Lab Test Payment Rates: Medicare Could Achieve Substantial Savings” </w:t>
      </w:r>
      <w:r w:rsidRPr="00C33184">
        <w:rPr>
          <w:rFonts w:ascii="Arial" w:hAnsi="Arial" w:cs="Arial"/>
        </w:rPr>
        <w:t>in June 2013.  In the report, there is a recommendation that the Centers for Medicare &amp; Medicaid Services (CMS) seek legislation that would allow it to establish lower payment rates for lab</w:t>
      </w:r>
      <w:r w:rsidR="00486CC2">
        <w:rPr>
          <w:rFonts w:ascii="Arial" w:hAnsi="Arial" w:cs="Arial"/>
        </w:rPr>
        <w:t>oratory</w:t>
      </w:r>
      <w:r w:rsidRPr="00C33184">
        <w:rPr>
          <w:rFonts w:ascii="Arial" w:hAnsi="Arial" w:cs="Arial"/>
        </w:rPr>
        <w:t xml:space="preserve"> tests and consider seeking legislation to institute competitive bidding, co-payments and/or deductibles for lab</w:t>
      </w:r>
      <w:r w:rsidR="00627ACE">
        <w:rPr>
          <w:rFonts w:ascii="Arial" w:hAnsi="Arial" w:cs="Arial"/>
        </w:rPr>
        <w:t>oratory</w:t>
      </w:r>
      <w:r w:rsidRPr="00C33184">
        <w:rPr>
          <w:rFonts w:ascii="Arial" w:hAnsi="Arial" w:cs="Arial"/>
        </w:rPr>
        <w:t xml:space="preserve"> tests.  </w:t>
      </w:r>
      <w:r w:rsidR="00186755" w:rsidRPr="00C33184">
        <w:rPr>
          <w:rFonts w:ascii="Arial" w:hAnsi="Arial" w:cs="Arial"/>
        </w:rPr>
        <w:t xml:space="preserve">The analysis of 20 high volume laboratory tests showed an opportunity to lower reimbursement by $910 million per year (a 38% reduction).  </w:t>
      </w:r>
      <w:r w:rsidR="00627ACE">
        <w:rPr>
          <w:rFonts w:ascii="Arial" w:hAnsi="Arial" w:cs="Arial"/>
        </w:rPr>
        <w:t>ASCLS and other organizations that have examined the report have expressed</w:t>
      </w:r>
      <w:r w:rsidR="00186755" w:rsidRPr="00C33184">
        <w:rPr>
          <w:rFonts w:ascii="Arial" w:hAnsi="Arial" w:cs="Arial"/>
        </w:rPr>
        <w:t xml:space="preserve"> concern about the </w:t>
      </w:r>
      <w:r w:rsidR="00627ACE">
        <w:rPr>
          <w:rFonts w:ascii="Arial" w:hAnsi="Arial" w:cs="Arial"/>
        </w:rPr>
        <w:t>lopsided</w:t>
      </w:r>
      <w:r w:rsidR="00186755" w:rsidRPr="00C33184">
        <w:rPr>
          <w:rFonts w:ascii="Arial" w:hAnsi="Arial" w:cs="Arial"/>
        </w:rPr>
        <w:t xml:space="preserve"> nature of the analysis</w:t>
      </w:r>
      <w:r w:rsidR="00627ACE">
        <w:rPr>
          <w:rFonts w:ascii="Arial" w:hAnsi="Arial" w:cs="Arial"/>
        </w:rPr>
        <w:t xml:space="preserve">.  The 20 high volume tests that were examined are primarily routine laboratory tests that all third party </w:t>
      </w:r>
      <w:proofErr w:type="spellStart"/>
      <w:r w:rsidR="00627ACE">
        <w:rPr>
          <w:rFonts w:ascii="Arial" w:hAnsi="Arial" w:cs="Arial"/>
        </w:rPr>
        <w:t>payors</w:t>
      </w:r>
      <w:proofErr w:type="spellEnd"/>
      <w:r w:rsidR="00627ACE">
        <w:rPr>
          <w:rFonts w:ascii="Arial" w:hAnsi="Arial" w:cs="Arial"/>
        </w:rPr>
        <w:t xml:space="preserve"> typically pay little for.  The analysis did not include</w:t>
      </w:r>
      <w:r w:rsidR="00186755" w:rsidRPr="00C33184">
        <w:rPr>
          <w:rFonts w:ascii="Arial" w:hAnsi="Arial" w:cs="Arial"/>
        </w:rPr>
        <w:t xml:space="preserve"> those </w:t>
      </w:r>
      <w:r w:rsidR="00627ACE">
        <w:rPr>
          <w:rFonts w:ascii="Arial" w:hAnsi="Arial" w:cs="Arial"/>
        </w:rPr>
        <w:t xml:space="preserve">esoteric and/or new </w:t>
      </w:r>
      <w:r w:rsidR="00186755" w:rsidRPr="00C33184">
        <w:rPr>
          <w:rFonts w:ascii="Arial" w:hAnsi="Arial" w:cs="Arial"/>
        </w:rPr>
        <w:t xml:space="preserve">tests </w:t>
      </w:r>
      <w:r w:rsidR="00627ACE">
        <w:rPr>
          <w:rFonts w:ascii="Arial" w:hAnsi="Arial" w:cs="Arial"/>
        </w:rPr>
        <w:t xml:space="preserve">for </w:t>
      </w:r>
      <w:r w:rsidR="00186755" w:rsidRPr="00C33184">
        <w:rPr>
          <w:rFonts w:ascii="Arial" w:hAnsi="Arial" w:cs="Arial"/>
        </w:rPr>
        <w:t xml:space="preserve">which </w:t>
      </w:r>
      <w:r w:rsidR="00627ACE">
        <w:rPr>
          <w:rFonts w:ascii="Arial" w:hAnsi="Arial" w:cs="Arial"/>
        </w:rPr>
        <w:t xml:space="preserve">reimbursement barely or does not cover costs.  We believe if those tests had been included the </w:t>
      </w:r>
      <w:r w:rsidR="00186755" w:rsidRPr="00C33184">
        <w:rPr>
          <w:rFonts w:ascii="Arial" w:hAnsi="Arial" w:cs="Arial"/>
        </w:rPr>
        <w:t>result</w:t>
      </w:r>
      <w:r w:rsidR="00627ACE">
        <w:rPr>
          <w:rFonts w:ascii="Arial" w:hAnsi="Arial" w:cs="Arial"/>
        </w:rPr>
        <w:t>ing savings would have been much lower</w:t>
      </w:r>
      <w:r w:rsidR="00186755" w:rsidRPr="00C33184">
        <w:rPr>
          <w:rFonts w:ascii="Arial" w:hAnsi="Arial" w:cs="Arial"/>
        </w:rPr>
        <w:t xml:space="preserve">.  </w:t>
      </w:r>
      <w:r w:rsidRPr="00C33184">
        <w:rPr>
          <w:rFonts w:ascii="Arial" w:hAnsi="Arial" w:cs="Arial"/>
        </w:rPr>
        <w:t xml:space="preserve">In </w:t>
      </w:r>
      <w:r w:rsidR="007F791D">
        <w:rPr>
          <w:rFonts w:ascii="Arial" w:hAnsi="Arial" w:cs="Arial"/>
        </w:rPr>
        <w:t>response to the study</w:t>
      </w:r>
      <w:r w:rsidRPr="00C33184">
        <w:rPr>
          <w:rFonts w:ascii="Arial" w:hAnsi="Arial" w:cs="Arial"/>
        </w:rPr>
        <w:t>, CMS stated that it is exploring whether it has authority under current statute to revise payments for lab tests consistent with OIG’s recommendation and that a proposal to establish “deductibles and coinsurance” for lab</w:t>
      </w:r>
      <w:r w:rsidR="007F791D">
        <w:rPr>
          <w:rFonts w:ascii="Arial" w:hAnsi="Arial" w:cs="Arial"/>
        </w:rPr>
        <w:t>oratory</w:t>
      </w:r>
      <w:r w:rsidRPr="00C33184">
        <w:rPr>
          <w:rFonts w:ascii="Arial" w:hAnsi="Arial" w:cs="Arial"/>
        </w:rPr>
        <w:t xml:space="preserve"> tests is not included in the fiscal year 2014 President’s Budget.</w:t>
      </w:r>
    </w:p>
    <w:p w:rsidR="00D32AC2" w:rsidRPr="00C33184" w:rsidRDefault="00D32AC2" w:rsidP="00D32AC2">
      <w:pPr>
        <w:pStyle w:val="Default"/>
        <w:pBdr>
          <w:bottom w:val="single" w:sz="12" w:space="1" w:color="auto"/>
        </w:pBdr>
        <w:rPr>
          <w:rFonts w:ascii="Arial" w:hAnsi="Arial" w:cs="Arial"/>
          <w:color w:val="auto"/>
          <w:sz w:val="22"/>
          <w:szCs w:val="22"/>
        </w:rPr>
      </w:pPr>
      <w:r w:rsidRPr="00C33184">
        <w:rPr>
          <w:rFonts w:ascii="Arial" w:hAnsi="Arial" w:cs="Arial"/>
          <w:sz w:val="22"/>
          <w:szCs w:val="22"/>
        </w:rPr>
        <w:t>The Clinical Laboratory Coalition will be discussing this issue and ASCLS’s Legislative consultant</w:t>
      </w:r>
      <w:r w:rsidR="005C3623" w:rsidRPr="00C33184">
        <w:rPr>
          <w:rFonts w:ascii="Arial" w:hAnsi="Arial" w:cs="Arial"/>
          <w:sz w:val="22"/>
          <w:szCs w:val="22"/>
        </w:rPr>
        <w:t>, Patrick Cooney</w:t>
      </w:r>
      <w:r w:rsidRPr="00C33184">
        <w:rPr>
          <w:rFonts w:ascii="Arial" w:hAnsi="Arial" w:cs="Arial"/>
          <w:sz w:val="22"/>
          <w:szCs w:val="22"/>
        </w:rPr>
        <w:t xml:space="preserve"> will be checking to see if this </w:t>
      </w:r>
      <w:r w:rsidR="005C3623" w:rsidRPr="00C33184">
        <w:rPr>
          <w:rFonts w:ascii="Arial" w:hAnsi="Arial" w:cs="Arial"/>
          <w:sz w:val="22"/>
          <w:szCs w:val="22"/>
        </w:rPr>
        <w:t>report</w:t>
      </w:r>
      <w:r w:rsidRPr="00C33184">
        <w:rPr>
          <w:rFonts w:ascii="Arial" w:hAnsi="Arial" w:cs="Arial"/>
          <w:sz w:val="22"/>
          <w:szCs w:val="22"/>
        </w:rPr>
        <w:t xml:space="preserve"> is being </w:t>
      </w:r>
      <w:r w:rsidR="005C3623" w:rsidRPr="00C33184">
        <w:rPr>
          <w:rFonts w:ascii="Arial" w:hAnsi="Arial" w:cs="Arial"/>
          <w:sz w:val="22"/>
          <w:szCs w:val="22"/>
        </w:rPr>
        <w:t>discussed</w:t>
      </w:r>
      <w:r w:rsidRPr="00C33184">
        <w:rPr>
          <w:rFonts w:ascii="Arial" w:hAnsi="Arial" w:cs="Arial"/>
          <w:sz w:val="22"/>
          <w:szCs w:val="22"/>
        </w:rPr>
        <w:t xml:space="preserve"> on Capitol Hill.  The link to the entire OIG report is at </w:t>
      </w:r>
      <w:hyperlink r:id="rId9" w:history="1">
        <w:r w:rsidRPr="00C33184">
          <w:rPr>
            <w:rStyle w:val="Hyperlink"/>
            <w:rFonts w:ascii="Arial" w:hAnsi="Arial" w:cs="Arial"/>
            <w:sz w:val="22"/>
            <w:szCs w:val="22"/>
          </w:rPr>
          <w:t>http://oig.hhs.gov/oei/reports/oei-07-11-00010.pdf</w:t>
        </w:r>
      </w:hyperlink>
    </w:p>
    <w:p w:rsidR="000B2160" w:rsidRDefault="00747039" w:rsidP="00747039">
      <w:pPr>
        <w:spacing w:after="0" w:line="240" w:lineRule="auto"/>
        <w:rPr>
          <w:rFonts w:ascii="Arial" w:hAnsi="Arial" w:cs="Arial"/>
          <w:sz w:val="28"/>
          <w:szCs w:val="28"/>
        </w:rPr>
      </w:pPr>
      <w:r>
        <w:rPr>
          <w:rFonts w:ascii="Arial" w:hAnsi="Arial" w:cs="Arial"/>
          <w:b/>
          <w:sz w:val="28"/>
          <w:szCs w:val="28"/>
        </w:rPr>
        <w:t xml:space="preserve">Reauthorization of the </w:t>
      </w:r>
      <w:r w:rsidR="000B2160" w:rsidRPr="000B2160">
        <w:rPr>
          <w:rFonts w:ascii="Arial" w:hAnsi="Arial" w:cs="Arial"/>
          <w:b/>
          <w:sz w:val="28"/>
          <w:szCs w:val="28"/>
        </w:rPr>
        <w:t xml:space="preserve">Workforce Reinvestment Act </w:t>
      </w:r>
      <w:r w:rsidR="000B2160">
        <w:rPr>
          <w:rFonts w:ascii="Arial" w:hAnsi="Arial" w:cs="Arial"/>
          <w:b/>
          <w:sz w:val="28"/>
          <w:szCs w:val="28"/>
        </w:rPr>
        <w:t>(</w:t>
      </w:r>
      <w:r w:rsidR="005D0370">
        <w:rPr>
          <w:rFonts w:ascii="Arial" w:hAnsi="Arial" w:cs="Arial"/>
          <w:b/>
          <w:sz w:val="28"/>
          <w:szCs w:val="28"/>
        </w:rPr>
        <w:t>H.R. 803</w:t>
      </w:r>
      <w:bookmarkStart w:id="0" w:name="_GoBack"/>
      <w:bookmarkEnd w:id="0"/>
      <w:r w:rsidR="000B2160">
        <w:rPr>
          <w:rFonts w:ascii="Arial" w:hAnsi="Arial" w:cs="Arial"/>
          <w:b/>
          <w:sz w:val="28"/>
          <w:szCs w:val="28"/>
        </w:rPr>
        <w:t>)</w:t>
      </w:r>
    </w:p>
    <w:p w:rsidR="00747039" w:rsidRPr="00C33184" w:rsidRDefault="00747039" w:rsidP="00747039">
      <w:pPr>
        <w:spacing w:after="0" w:line="240" w:lineRule="auto"/>
        <w:rPr>
          <w:rFonts w:ascii="Arial" w:hAnsi="Arial" w:cs="Arial"/>
        </w:rPr>
      </w:pPr>
    </w:p>
    <w:p w:rsidR="000B2160" w:rsidRPr="00C33184" w:rsidRDefault="000B2160" w:rsidP="00747039">
      <w:pPr>
        <w:shd w:val="clear" w:color="auto" w:fill="FFFFFF"/>
        <w:spacing w:line="240" w:lineRule="auto"/>
        <w:rPr>
          <w:rFonts w:ascii="Arial" w:hAnsi="Arial" w:cs="Arial"/>
          <w:color w:val="333333"/>
        </w:rPr>
      </w:pPr>
      <w:r w:rsidRPr="00C33184">
        <w:rPr>
          <w:rFonts w:ascii="Arial" w:hAnsi="Arial" w:cs="Arial"/>
          <w:color w:val="333333"/>
        </w:rPr>
        <w:t xml:space="preserve">The purposes of this Act </w:t>
      </w:r>
      <w:r w:rsidR="00D25BE4" w:rsidRPr="00C33184">
        <w:rPr>
          <w:rFonts w:ascii="Arial" w:hAnsi="Arial" w:cs="Arial"/>
          <w:color w:val="333333"/>
        </w:rPr>
        <w:t xml:space="preserve">(originally passed in 1998) </w:t>
      </w:r>
      <w:r w:rsidRPr="00C33184">
        <w:rPr>
          <w:rFonts w:ascii="Arial" w:hAnsi="Arial" w:cs="Arial"/>
          <w:color w:val="333333"/>
        </w:rPr>
        <w:t>include</w:t>
      </w:r>
      <w:r w:rsidR="00747039" w:rsidRPr="00C33184">
        <w:rPr>
          <w:rFonts w:ascii="Arial" w:hAnsi="Arial" w:cs="Arial"/>
          <w:color w:val="333333"/>
        </w:rPr>
        <w:t>d</w:t>
      </w:r>
      <w:r w:rsidRPr="00C33184">
        <w:rPr>
          <w:rFonts w:ascii="Arial" w:hAnsi="Arial" w:cs="Arial"/>
          <w:color w:val="333333"/>
        </w:rPr>
        <w:t xml:space="preserve"> the following:</w:t>
      </w:r>
    </w:p>
    <w:p w:rsidR="000B2160" w:rsidRPr="00C33184" w:rsidRDefault="00526C50" w:rsidP="00747039">
      <w:pPr>
        <w:shd w:val="clear" w:color="auto" w:fill="FFFFFF"/>
        <w:spacing w:line="240" w:lineRule="auto"/>
        <w:ind w:left="720"/>
        <w:rPr>
          <w:rFonts w:ascii="Arial" w:hAnsi="Arial" w:cs="Arial"/>
          <w:color w:val="333333"/>
        </w:rPr>
      </w:pPr>
      <w:r w:rsidRPr="00C33184">
        <w:rPr>
          <w:rFonts w:ascii="Arial" w:hAnsi="Arial" w:cs="Arial"/>
          <w:color w:val="333333"/>
        </w:rPr>
        <w:t>(1) I</w:t>
      </w:r>
      <w:r w:rsidR="000B2160" w:rsidRPr="00C33184">
        <w:rPr>
          <w:rFonts w:ascii="Arial" w:hAnsi="Arial" w:cs="Arial"/>
          <w:color w:val="333333"/>
        </w:rPr>
        <w:t>ncrease economic growth</w:t>
      </w:r>
      <w:r w:rsidRPr="00C33184">
        <w:rPr>
          <w:rFonts w:ascii="Arial" w:hAnsi="Arial" w:cs="Arial"/>
          <w:color w:val="333333"/>
        </w:rPr>
        <w:t xml:space="preserve"> by improving education/</w:t>
      </w:r>
      <w:r w:rsidR="000B2160" w:rsidRPr="00C33184">
        <w:rPr>
          <w:rFonts w:ascii="Arial" w:hAnsi="Arial" w:cs="Arial"/>
          <w:color w:val="333333"/>
        </w:rPr>
        <w:t>skills of American workers.</w:t>
      </w:r>
    </w:p>
    <w:p w:rsidR="000B2160" w:rsidRPr="00C33184" w:rsidRDefault="000B2160" w:rsidP="00747039">
      <w:pPr>
        <w:shd w:val="clear" w:color="auto" w:fill="FFFFFF"/>
        <w:spacing w:line="240" w:lineRule="auto"/>
        <w:ind w:left="720"/>
        <w:rPr>
          <w:rFonts w:ascii="Arial" w:hAnsi="Arial" w:cs="Arial"/>
          <w:color w:val="333333"/>
        </w:rPr>
      </w:pPr>
      <w:r w:rsidRPr="00C33184">
        <w:rPr>
          <w:rFonts w:ascii="Arial" w:hAnsi="Arial" w:cs="Arial"/>
          <w:color w:val="333333"/>
        </w:rPr>
        <w:t>(2) To ensure middle class prosperity through strong investment in talent and workforce development.</w:t>
      </w:r>
    </w:p>
    <w:p w:rsidR="000B2160" w:rsidRPr="00C33184" w:rsidRDefault="000B2160" w:rsidP="00747039">
      <w:pPr>
        <w:shd w:val="clear" w:color="auto" w:fill="FFFFFF"/>
        <w:spacing w:line="240" w:lineRule="auto"/>
        <w:ind w:left="720"/>
        <w:rPr>
          <w:rFonts w:ascii="Arial" w:hAnsi="Arial" w:cs="Arial"/>
          <w:color w:val="333333"/>
        </w:rPr>
      </w:pPr>
      <w:r w:rsidRPr="00C33184">
        <w:rPr>
          <w:rFonts w:ascii="Arial" w:hAnsi="Arial" w:cs="Arial"/>
          <w:color w:val="333333"/>
        </w:rPr>
        <w:lastRenderedPageBreak/>
        <w:t>(3) To prepare the unemployed, the underemployed, and those most disadvantaged with skills to match up with employer needs.</w:t>
      </w:r>
    </w:p>
    <w:p w:rsidR="000B2160" w:rsidRPr="00C33184" w:rsidRDefault="000B2160" w:rsidP="00747039">
      <w:pPr>
        <w:shd w:val="clear" w:color="auto" w:fill="FFFFFF"/>
        <w:spacing w:line="240" w:lineRule="auto"/>
        <w:ind w:left="720"/>
        <w:rPr>
          <w:rFonts w:ascii="Arial" w:hAnsi="Arial" w:cs="Arial"/>
          <w:color w:val="333333"/>
        </w:rPr>
      </w:pPr>
      <w:r w:rsidRPr="00C33184">
        <w:rPr>
          <w:rFonts w:ascii="Arial" w:hAnsi="Arial" w:cs="Arial"/>
          <w:color w:val="333333"/>
        </w:rPr>
        <w:t>(4) To provide individuals streamlined access to in-demand skills training and employment services by aligning education, t</w:t>
      </w:r>
      <w:r w:rsidR="00526C50" w:rsidRPr="00C33184">
        <w:rPr>
          <w:rFonts w:ascii="Arial" w:hAnsi="Arial" w:cs="Arial"/>
          <w:color w:val="333333"/>
        </w:rPr>
        <w:t>raining and workforce</w:t>
      </w:r>
      <w:r w:rsidRPr="00C33184">
        <w:rPr>
          <w:rFonts w:ascii="Arial" w:hAnsi="Arial" w:cs="Arial"/>
          <w:color w:val="333333"/>
        </w:rPr>
        <w:t xml:space="preserve"> programs.</w:t>
      </w:r>
    </w:p>
    <w:p w:rsidR="000B2160" w:rsidRPr="00C33184" w:rsidRDefault="000B2160" w:rsidP="00747039">
      <w:pPr>
        <w:shd w:val="clear" w:color="auto" w:fill="FFFFFF"/>
        <w:spacing w:line="240" w:lineRule="auto"/>
        <w:ind w:left="720"/>
        <w:rPr>
          <w:rFonts w:ascii="Arial" w:hAnsi="Arial" w:cs="Arial"/>
          <w:color w:val="333333"/>
        </w:rPr>
      </w:pPr>
      <w:r w:rsidRPr="00C33184">
        <w:rPr>
          <w:rFonts w:ascii="Arial" w:hAnsi="Arial" w:cs="Arial"/>
          <w:color w:val="333333"/>
        </w:rPr>
        <w:t>(5) To strengthen engagement with employers in in-demand industries and all sectors to meet the needs of employers.</w:t>
      </w:r>
    </w:p>
    <w:p w:rsidR="000B2160" w:rsidRPr="00C33184" w:rsidRDefault="000B2160" w:rsidP="00747039">
      <w:pPr>
        <w:shd w:val="clear" w:color="auto" w:fill="FFFFFF"/>
        <w:spacing w:line="240" w:lineRule="auto"/>
        <w:ind w:left="720"/>
        <w:rPr>
          <w:rFonts w:ascii="Arial" w:hAnsi="Arial" w:cs="Arial"/>
          <w:color w:val="333333"/>
        </w:rPr>
      </w:pPr>
      <w:r w:rsidRPr="00C33184">
        <w:rPr>
          <w:rFonts w:ascii="Arial" w:hAnsi="Arial" w:cs="Arial"/>
          <w:color w:val="333333"/>
        </w:rPr>
        <w:t>(6) To improve the competitiveness and dynamism of the Nation's future workforce by investing in college and career-ready pathways for young adults.</w:t>
      </w:r>
    </w:p>
    <w:p w:rsidR="000B2160" w:rsidRPr="00C33184" w:rsidRDefault="000B2160" w:rsidP="00747039">
      <w:pPr>
        <w:shd w:val="clear" w:color="auto" w:fill="FFFFFF"/>
        <w:spacing w:line="240" w:lineRule="auto"/>
        <w:ind w:left="720"/>
        <w:rPr>
          <w:rFonts w:ascii="Arial" w:hAnsi="Arial" w:cs="Arial"/>
          <w:color w:val="333333"/>
        </w:rPr>
      </w:pPr>
      <w:r w:rsidRPr="00C33184">
        <w:rPr>
          <w:rFonts w:ascii="Arial" w:hAnsi="Arial" w:cs="Arial"/>
          <w:color w:val="333333"/>
        </w:rPr>
        <w:t xml:space="preserve">(7) To ensure accountability and efficiency through system performance measures </w:t>
      </w:r>
      <w:r w:rsidR="00C33184" w:rsidRPr="00C33184">
        <w:rPr>
          <w:rFonts w:ascii="Arial" w:hAnsi="Arial" w:cs="Arial"/>
          <w:color w:val="333333"/>
        </w:rPr>
        <w:t>that incentivize</w:t>
      </w:r>
      <w:r w:rsidRPr="00C33184">
        <w:rPr>
          <w:rFonts w:ascii="Arial" w:hAnsi="Arial" w:cs="Arial"/>
          <w:color w:val="333333"/>
        </w:rPr>
        <w:t xml:space="preserve"> continuous improvement in services for workers and employers.</w:t>
      </w:r>
    </w:p>
    <w:p w:rsidR="000B2160" w:rsidRPr="00C33184" w:rsidRDefault="000B2160" w:rsidP="00747039">
      <w:pPr>
        <w:shd w:val="clear" w:color="auto" w:fill="FFFFFF"/>
        <w:spacing w:line="240" w:lineRule="auto"/>
        <w:ind w:left="720"/>
        <w:rPr>
          <w:rFonts w:ascii="Arial" w:hAnsi="Arial" w:cs="Arial"/>
          <w:color w:val="333333"/>
        </w:rPr>
      </w:pPr>
      <w:r w:rsidRPr="00C33184">
        <w:rPr>
          <w:rFonts w:ascii="Arial" w:hAnsi="Arial" w:cs="Arial"/>
          <w:color w:val="333333"/>
        </w:rPr>
        <w:t>(8) To encourage private sector partnerships connecting employers, labor unions, community colleges, workforce boards and related stakeholders to develop workforce skills that meet employ</w:t>
      </w:r>
      <w:r w:rsidR="00526C50" w:rsidRPr="00C33184">
        <w:rPr>
          <w:rFonts w:ascii="Arial" w:hAnsi="Arial" w:cs="Arial"/>
          <w:color w:val="333333"/>
        </w:rPr>
        <w:t>er needs</w:t>
      </w:r>
      <w:r w:rsidRPr="00C33184">
        <w:rPr>
          <w:rFonts w:ascii="Arial" w:hAnsi="Arial" w:cs="Arial"/>
          <w:color w:val="333333"/>
        </w:rPr>
        <w:t>.</w:t>
      </w:r>
    </w:p>
    <w:p w:rsidR="00D25BE4" w:rsidRPr="00C33184" w:rsidRDefault="00747039" w:rsidP="005C3623">
      <w:pPr>
        <w:pBdr>
          <w:bottom w:val="single" w:sz="12" w:space="1" w:color="auto"/>
        </w:pBdr>
        <w:shd w:val="clear" w:color="auto" w:fill="FFFFFF"/>
        <w:spacing w:after="0"/>
        <w:rPr>
          <w:rFonts w:ascii="Arial" w:hAnsi="Arial" w:cs="Arial"/>
          <w:color w:val="333333"/>
        </w:rPr>
      </w:pPr>
      <w:r w:rsidRPr="00C33184">
        <w:rPr>
          <w:rFonts w:ascii="Arial" w:hAnsi="Arial" w:cs="Arial"/>
          <w:color w:val="333333"/>
        </w:rPr>
        <w:t>The House of Representatives voted to reauthorize the Workforce Reinvestment Act</w:t>
      </w:r>
      <w:r w:rsidR="00D25BE4" w:rsidRPr="00C33184">
        <w:rPr>
          <w:rFonts w:ascii="Arial" w:hAnsi="Arial" w:cs="Arial"/>
          <w:color w:val="333333"/>
        </w:rPr>
        <w:t xml:space="preserve"> </w:t>
      </w:r>
      <w:r w:rsidR="00D25BE4" w:rsidRPr="00C33184">
        <w:rPr>
          <w:rFonts w:ascii="Arial" w:hAnsi="Arial" w:cs="Arial"/>
          <w:color w:val="1A1718"/>
        </w:rPr>
        <w:t xml:space="preserve">by passing the SKILLS (Supporting Knowledge and Investing in Lifelong Skills) Act (H.R. 803), which moved through the House Committee on Education and the Workforce. The SKILLS Act has been forwarded to the U.S. Senate and is being considered by the Senate Committee on Health, Education, Labor and Pensions (HELP). </w:t>
      </w:r>
      <w:r w:rsidR="00D06E14" w:rsidRPr="00C33184">
        <w:rPr>
          <w:rFonts w:ascii="Arial" w:hAnsi="Arial" w:cs="Arial"/>
          <w:color w:val="333333"/>
        </w:rPr>
        <w:t>During the Legislative Symposium</w:t>
      </w:r>
      <w:r w:rsidRPr="00C33184">
        <w:rPr>
          <w:rFonts w:ascii="Arial" w:hAnsi="Arial" w:cs="Arial"/>
          <w:color w:val="333333"/>
        </w:rPr>
        <w:t xml:space="preserve"> we thanked our House members for reauthorizing the legislation and asked our Senators to support the legislation when it comes up for action. </w:t>
      </w:r>
      <w:r w:rsidR="007F791D">
        <w:rPr>
          <w:rFonts w:ascii="Arial" w:hAnsi="Arial" w:cs="Arial"/>
          <w:color w:val="333333"/>
        </w:rPr>
        <w:t>(</w:t>
      </w:r>
      <w:r w:rsidR="00D25BE4" w:rsidRPr="00C33184">
        <w:rPr>
          <w:rFonts w:ascii="Arial" w:hAnsi="Arial" w:cs="Arial"/>
          <w:color w:val="333333"/>
        </w:rPr>
        <w:t>A second bill was also introduced</w:t>
      </w:r>
      <w:r w:rsidR="00BF14B6" w:rsidRPr="00C33184">
        <w:rPr>
          <w:rFonts w:ascii="Arial" w:hAnsi="Arial" w:cs="Arial"/>
          <w:color w:val="333333"/>
        </w:rPr>
        <w:t xml:space="preserve"> in the House</w:t>
      </w:r>
      <w:r w:rsidR="007F791D">
        <w:rPr>
          <w:rFonts w:ascii="Arial" w:hAnsi="Arial" w:cs="Arial"/>
          <w:color w:val="333333"/>
        </w:rPr>
        <w:t>,</w:t>
      </w:r>
      <w:r w:rsidR="00BF14B6" w:rsidRPr="00C33184">
        <w:rPr>
          <w:rFonts w:ascii="Arial" w:hAnsi="Arial" w:cs="Arial"/>
          <w:color w:val="333333"/>
        </w:rPr>
        <w:t xml:space="preserve"> H.R. 798</w:t>
      </w:r>
      <w:r w:rsidR="007F791D">
        <w:rPr>
          <w:rFonts w:ascii="Arial" w:hAnsi="Arial" w:cs="Arial"/>
          <w:color w:val="333333"/>
        </w:rPr>
        <w:t>,</w:t>
      </w:r>
      <w:r w:rsidR="00D25BE4" w:rsidRPr="00C33184">
        <w:rPr>
          <w:rFonts w:ascii="Arial" w:hAnsi="Arial" w:cs="Arial"/>
          <w:color w:val="333333"/>
        </w:rPr>
        <w:t xml:space="preserve"> to reauthori</w:t>
      </w:r>
      <w:r w:rsidR="00BF14B6" w:rsidRPr="00C33184">
        <w:rPr>
          <w:rFonts w:ascii="Arial" w:hAnsi="Arial" w:cs="Arial"/>
          <w:color w:val="333333"/>
        </w:rPr>
        <w:t>ze the Workforce Investment Act, but has not yet been considered by the House Committee on Education and the Workforce)</w:t>
      </w:r>
      <w:r w:rsidR="00D06E14" w:rsidRPr="00C33184">
        <w:rPr>
          <w:rFonts w:ascii="Arial" w:hAnsi="Arial" w:cs="Arial"/>
          <w:color w:val="333333"/>
        </w:rPr>
        <w:t>.</w:t>
      </w:r>
    </w:p>
    <w:p w:rsidR="00747039" w:rsidRDefault="00747039" w:rsidP="005C3623">
      <w:pPr>
        <w:spacing w:after="0" w:line="240" w:lineRule="auto"/>
        <w:rPr>
          <w:rFonts w:ascii="Arial" w:hAnsi="Arial" w:cs="Arial"/>
          <w:sz w:val="28"/>
          <w:szCs w:val="28"/>
        </w:rPr>
      </w:pPr>
      <w:r w:rsidRPr="00747039">
        <w:rPr>
          <w:rFonts w:ascii="Arial" w:hAnsi="Arial" w:cs="Arial"/>
          <w:b/>
          <w:sz w:val="28"/>
          <w:szCs w:val="28"/>
        </w:rPr>
        <w:t>Molecular test code reimbursement</w:t>
      </w:r>
    </w:p>
    <w:p w:rsidR="00C33184" w:rsidRPr="00C33184" w:rsidRDefault="00C33184" w:rsidP="005C3623">
      <w:pPr>
        <w:spacing w:after="0" w:line="240" w:lineRule="auto"/>
        <w:rPr>
          <w:rFonts w:ascii="Arial" w:hAnsi="Arial" w:cs="Arial"/>
        </w:rPr>
      </w:pPr>
    </w:p>
    <w:p w:rsidR="00747039" w:rsidRPr="00C33184" w:rsidRDefault="00747039" w:rsidP="00526C50">
      <w:pPr>
        <w:spacing w:line="240" w:lineRule="auto"/>
        <w:rPr>
          <w:rFonts w:ascii="Arial" w:hAnsi="Arial" w:cs="Arial"/>
        </w:rPr>
      </w:pPr>
      <w:r w:rsidRPr="00C33184">
        <w:rPr>
          <w:rFonts w:ascii="Arial" w:hAnsi="Arial" w:cs="Arial"/>
        </w:rPr>
        <w:t>On May 9, 2013 the Centers for Medicare and Medicaid Services (CMS) published interim pricing for 114 new molecular pathology (</w:t>
      </w:r>
      <w:proofErr w:type="spellStart"/>
      <w:r w:rsidRPr="00C33184">
        <w:rPr>
          <w:rFonts w:ascii="Arial" w:hAnsi="Arial" w:cs="Arial"/>
        </w:rPr>
        <w:t>MoPath</w:t>
      </w:r>
      <w:proofErr w:type="spellEnd"/>
      <w:r w:rsidRPr="00C33184">
        <w:rPr>
          <w:rFonts w:ascii="Arial" w:hAnsi="Arial" w:cs="Arial"/>
        </w:rPr>
        <w:t xml:space="preserve">) CPT codes developed by its Medicare </w:t>
      </w:r>
      <w:r w:rsidR="00ED1E70" w:rsidRPr="00C33184">
        <w:rPr>
          <w:rFonts w:ascii="Arial" w:hAnsi="Arial" w:cs="Arial"/>
        </w:rPr>
        <w:t xml:space="preserve">Administrative Contractors </w:t>
      </w:r>
      <w:r w:rsidRPr="00C33184">
        <w:rPr>
          <w:rFonts w:ascii="Arial" w:hAnsi="Arial" w:cs="Arial"/>
        </w:rPr>
        <w:t xml:space="preserve">(MACs).  </w:t>
      </w:r>
      <w:r w:rsidR="00BF14B6" w:rsidRPr="00C33184">
        <w:rPr>
          <w:rFonts w:ascii="Arial" w:hAnsi="Arial" w:cs="Arial"/>
        </w:rPr>
        <w:t xml:space="preserve">The reimbursement proposed was determined by the gap-fill methodology.  </w:t>
      </w:r>
      <w:r w:rsidRPr="00C33184">
        <w:rPr>
          <w:rFonts w:ascii="Arial" w:hAnsi="Arial" w:cs="Arial"/>
        </w:rPr>
        <w:t xml:space="preserve">Laboratories </w:t>
      </w:r>
      <w:r w:rsidR="007F791D">
        <w:rPr>
          <w:rFonts w:ascii="Arial" w:hAnsi="Arial" w:cs="Arial"/>
        </w:rPr>
        <w:t xml:space="preserve">that perform these tests have been waiting for this information because </w:t>
      </w:r>
      <w:r w:rsidR="00ED1E70">
        <w:rPr>
          <w:rFonts w:ascii="Arial" w:hAnsi="Arial" w:cs="Arial"/>
        </w:rPr>
        <w:t>CMS Carriers</w:t>
      </w:r>
      <w:r w:rsidR="007F791D">
        <w:rPr>
          <w:rFonts w:ascii="Arial" w:hAnsi="Arial" w:cs="Arial"/>
        </w:rPr>
        <w:t xml:space="preserve"> </w:t>
      </w:r>
      <w:r w:rsidRPr="00C33184">
        <w:rPr>
          <w:rFonts w:ascii="Arial" w:hAnsi="Arial" w:cs="Arial"/>
        </w:rPr>
        <w:t xml:space="preserve">had </w:t>
      </w:r>
      <w:r w:rsidR="00ED1E70">
        <w:rPr>
          <w:rFonts w:ascii="Arial" w:hAnsi="Arial" w:cs="Arial"/>
        </w:rPr>
        <w:t xml:space="preserve">not been paying </w:t>
      </w:r>
      <w:r w:rsidRPr="00C33184">
        <w:rPr>
          <w:rFonts w:ascii="Arial" w:hAnsi="Arial" w:cs="Arial"/>
        </w:rPr>
        <w:t>for molecular testing since January 1, 2013.  For most carriers, payment has now been restored, but at the</w:t>
      </w:r>
      <w:r w:rsidR="00ED1E70">
        <w:rPr>
          <w:rFonts w:ascii="Arial" w:hAnsi="Arial" w:cs="Arial"/>
        </w:rPr>
        <w:t>se new,</w:t>
      </w:r>
      <w:r w:rsidRPr="00C33184">
        <w:rPr>
          <w:rFonts w:ascii="Arial" w:hAnsi="Arial" w:cs="Arial"/>
        </w:rPr>
        <w:t xml:space="preserve"> lower rates. </w:t>
      </w:r>
    </w:p>
    <w:p w:rsidR="00BF14B6" w:rsidRPr="00C33184" w:rsidRDefault="00747039" w:rsidP="00BF14B6">
      <w:pPr>
        <w:widowControl w:val="0"/>
        <w:autoSpaceDE w:val="0"/>
        <w:autoSpaceDN w:val="0"/>
        <w:adjustRightInd w:val="0"/>
        <w:spacing w:after="240" w:line="240" w:lineRule="auto"/>
        <w:rPr>
          <w:rFonts w:ascii="Arial" w:hAnsi="Arial" w:cs="Arial"/>
        </w:rPr>
      </w:pPr>
      <w:r w:rsidRPr="00C33184">
        <w:rPr>
          <w:rFonts w:ascii="Arial" w:hAnsi="Arial" w:cs="Arial"/>
        </w:rPr>
        <w:t xml:space="preserve">CMS’s publication of all the </w:t>
      </w:r>
      <w:proofErr w:type="spellStart"/>
      <w:r w:rsidRPr="00C33184">
        <w:rPr>
          <w:rFonts w:ascii="Arial" w:hAnsi="Arial" w:cs="Arial"/>
        </w:rPr>
        <w:t>MoPath</w:t>
      </w:r>
      <w:proofErr w:type="spellEnd"/>
      <w:r w:rsidRPr="00C33184">
        <w:rPr>
          <w:rFonts w:ascii="Arial" w:hAnsi="Arial" w:cs="Arial"/>
        </w:rPr>
        <w:t xml:space="preserve"> prices officially launched a 60-day comment period.  </w:t>
      </w:r>
      <w:r w:rsidR="00BF14B6" w:rsidRPr="00C33184">
        <w:rPr>
          <w:rFonts w:ascii="Arial" w:hAnsi="Arial" w:cs="Arial"/>
        </w:rPr>
        <w:t xml:space="preserve">To close out the 2013 gap-fill process for the </w:t>
      </w:r>
      <w:proofErr w:type="spellStart"/>
      <w:r w:rsidR="00BF14B6" w:rsidRPr="00C33184">
        <w:rPr>
          <w:rFonts w:ascii="Arial" w:hAnsi="Arial" w:cs="Arial"/>
        </w:rPr>
        <w:t>MoPath</w:t>
      </w:r>
      <w:proofErr w:type="spellEnd"/>
      <w:r w:rsidR="00BF14B6" w:rsidRPr="00C33184">
        <w:rPr>
          <w:rFonts w:ascii="Arial" w:hAnsi="Arial" w:cs="Arial"/>
        </w:rPr>
        <w:t xml:space="preserve"> codes, CMS will share comments after the 60-day comment period closes, and will publish the final gap-fill pricing decisions in September 2013. These rates will form the basis for Medicare payments in 2014, during which each </w:t>
      </w:r>
      <w:proofErr w:type="spellStart"/>
      <w:r w:rsidR="00BF14B6" w:rsidRPr="00C33184">
        <w:rPr>
          <w:rFonts w:ascii="Arial" w:hAnsi="Arial" w:cs="Arial"/>
        </w:rPr>
        <w:t>MoPath</w:t>
      </w:r>
      <w:proofErr w:type="spellEnd"/>
      <w:r w:rsidR="00BF14B6" w:rsidRPr="00C33184">
        <w:rPr>
          <w:rFonts w:ascii="Arial" w:hAnsi="Arial" w:cs="Arial"/>
        </w:rPr>
        <w:t xml:space="preserve"> code will be paid at the median of the final MAC gap-fill rates</w:t>
      </w:r>
      <w:r w:rsidR="00526C50" w:rsidRPr="00C33184">
        <w:rPr>
          <w:rFonts w:ascii="Arial" w:hAnsi="Arial" w:cs="Arial"/>
        </w:rPr>
        <w:t xml:space="preserve"> determined in 2013. Another 30-day reconsideration period will follow the posting of the final rates in September.</w:t>
      </w:r>
    </w:p>
    <w:p w:rsidR="00747039" w:rsidRPr="00C33184" w:rsidRDefault="00747039" w:rsidP="00747039">
      <w:pPr>
        <w:rPr>
          <w:rFonts w:ascii="Arial" w:hAnsi="Arial" w:cs="Arial"/>
        </w:rPr>
      </w:pPr>
      <w:r w:rsidRPr="00C33184">
        <w:rPr>
          <w:rFonts w:ascii="Arial" w:hAnsi="Arial" w:cs="Arial"/>
        </w:rPr>
        <w:t xml:space="preserve">ASCLS will be developing a formal response to these </w:t>
      </w:r>
      <w:r w:rsidR="007F791D">
        <w:rPr>
          <w:rFonts w:ascii="Arial" w:hAnsi="Arial" w:cs="Arial"/>
        </w:rPr>
        <w:t>reimbursement rates</w:t>
      </w:r>
      <w:r w:rsidRPr="00C33184">
        <w:rPr>
          <w:rFonts w:ascii="Arial" w:hAnsi="Arial" w:cs="Arial"/>
        </w:rPr>
        <w:t>.</w:t>
      </w:r>
    </w:p>
    <w:p w:rsidR="00893323" w:rsidRPr="00C33184" w:rsidRDefault="00747039" w:rsidP="00747039">
      <w:pPr>
        <w:pStyle w:val="ListParagraph"/>
        <w:pBdr>
          <w:bottom w:val="single" w:sz="12" w:space="1" w:color="auto"/>
        </w:pBdr>
        <w:ind w:left="0"/>
        <w:rPr>
          <w:rFonts w:ascii="Arial" w:hAnsi="Arial" w:cs="Arial"/>
          <w:color w:val="000000"/>
        </w:rPr>
      </w:pPr>
      <w:r w:rsidRPr="00C33184">
        <w:rPr>
          <w:rFonts w:ascii="Arial" w:hAnsi="Arial" w:cs="Arial"/>
          <w:color w:val="000000"/>
        </w:rPr>
        <w:t xml:space="preserve">CMS website for the reimbursement rates for the molecular path codes: </w:t>
      </w:r>
      <w:hyperlink r:id="rId10" w:history="1">
        <w:r w:rsidRPr="00C33184">
          <w:rPr>
            <w:rStyle w:val="Hyperlink"/>
            <w:rFonts w:ascii="Arial" w:hAnsi="Arial" w:cs="Arial"/>
          </w:rPr>
          <w:t>http://www.cms.gov/Medicare/Medicare-Fee-For-Service-Payment/ClinicalLabFeeSched/Gapfill-Pricing-Inquiries.html</w:t>
        </w:r>
      </w:hyperlink>
    </w:p>
    <w:p w:rsidR="00D06E14" w:rsidRPr="00C33184" w:rsidRDefault="00D06E14" w:rsidP="00747039">
      <w:pPr>
        <w:pStyle w:val="ListParagraph"/>
        <w:pBdr>
          <w:bottom w:val="single" w:sz="12" w:space="1" w:color="auto"/>
        </w:pBdr>
        <w:ind w:left="0"/>
        <w:rPr>
          <w:rFonts w:ascii="Arial" w:hAnsi="Arial" w:cs="Arial"/>
          <w:color w:val="000000"/>
        </w:rPr>
      </w:pPr>
    </w:p>
    <w:p w:rsidR="00747039" w:rsidRPr="00C33184" w:rsidRDefault="00D61A39" w:rsidP="00ED1E70">
      <w:pPr>
        <w:spacing w:after="0" w:line="240" w:lineRule="auto"/>
        <w:rPr>
          <w:rFonts w:ascii="Arial" w:hAnsi="Arial" w:cs="Arial"/>
        </w:rPr>
      </w:pPr>
      <w:r w:rsidRPr="00C33184">
        <w:rPr>
          <w:rFonts w:ascii="Arial" w:hAnsi="Arial" w:cs="Arial"/>
        </w:rPr>
        <w:t>Rick Panning</w:t>
      </w:r>
      <w:r w:rsidR="0014421F" w:rsidRPr="00C33184">
        <w:rPr>
          <w:rFonts w:ascii="Arial" w:hAnsi="Arial" w:cs="Arial"/>
        </w:rPr>
        <w:t xml:space="preserve">, GAC </w:t>
      </w:r>
      <w:r w:rsidR="00BE0100" w:rsidRPr="00C33184">
        <w:rPr>
          <w:rFonts w:ascii="Arial" w:hAnsi="Arial" w:cs="Arial"/>
        </w:rPr>
        <w:t>e-newsletter editor (2012-2013)</w:t>
      </w:r>
      <w:r w:rsidR="00ED1E70">
        <w:rPr>
          <w:rFonts w:ascii="Arial" w:hAnsi="Arial" w:cs="Arial"/>
        </w:rPr>
        <w:t xml:space="preserve">; </w:t>
      </w:r>
      <w:hyperlink r:id="rId11" w:history="1">
        <w:r w:rsidR="00747039" w:rsidRPr="00C33184">
          <w:rPr>
            <w:rStyle w:val="Hyperlink"/>
            <w:rFonts w:ascii="Arial" w:hAnsi="Arial" w:cs="Arial"/>
          </w:rPr>
          <w:t>Rpannin1@fairview.org</w:t>
        </w:r>
      </w:hyperlink>
    </w:p>
    <w:sectPr w:rsidR="00747039" w:rsidRPr="00C33184" w:rsidSect="00747039">
      <w:pgSz w:w="12240" w:h="15840"/>
      <w:pgMar w:top="1152" w:right="1296" w:bottom="1152"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decimal"/>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D96006"/>
    <w:multiLevelType w:val="hybridMultilevel"/>
    <w:tmpl w:val="365E3F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78DB"/>
    <w:multiLevelType w:val="multilevel"/>
    <w:tmpl w:val="CD26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31816"/>
    <w:multiLevelType w:val="hybridMultilevel"/>
    <w:tmpl w:val="71F2E51A"/>
    <w:lvl w:ilvl="0" w:tplc="04090001">
      <w:start w:val="1"/>
      <w:numFmt w:val="bullet"/>
      <w:lvlText w:val=""/>
      <w:lvlJc w:val="left"/>
      <w:pPr>
        <w:ind w:left="780" w:hanging="360"/>
      </w:pPr>
      <w:rPr>
        <w:rFonts w:ascii="Symbol" w:hAnsi="Symbol" w:hint="default"/>
      </w:rPr>
    </w:lvl>
    <w:lvl w:ilvl="1" w:tplc="0409000F">
      <w:start w:val="1"/>
      <w:numFmt w:val="decimal"/>
      <w:lvlText w:val="%2."/>
      <w:lvlJc w:val="left"/>
      <w:pPr>
        <w:tabs>
          <w:tab w:val="num" w:pos="1500"/>
        </w:tabs>
        <w:ind w:left="1500" w:hanging="360"/>
      </w:pPr>
      <w:rPr>
        <w:rFonts w:cs="Times New Roman"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3F7B00C5"/>
    <w:multiLevelType w:val="hybridMultilevel"/>
    <w:tmpl w:val="4C16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CF5838"/>
    <w:multiLevelType w:val="hybridMultilevel"/>
    <w:tmpl w:val="2624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7A54B4"/>
    <w:multiLevelType w:val="hybridMultilevel"/>
    <w:tmpl w:val="991A2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8E5CC7"/>
    <w:multiLevelType w:val="hybridMultilevel"/>
    <w:tmpl w:val="351024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5A52EF"/>
    <w:multiLevelType w:val="hybridMultilevel"/>
    <w:tmpl w:val="C2C8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EA4BF7"/>
    <w:multiLevelType w:val="hybridMultilevel"/>
    <w:tmpl w:val="2F22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CF0EF5"/>
    <w:multiLevelType w:val="hybridMultilevel"/>
    <w:tmpl w:val="1856E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9"/>
  </w:num>
  <w:num w:numId="5">
    <w:abstractNumId w:val="3"/>
  </w:num>
  <w:num w:numId="6">
    <w:abstractNumId w:val="8"/>
  </w:num>
  <w:num w:numId="7">
    <w:abstractNumId w:val="11"/>
  </w:num>
  <w:num w:numId="8">
    <w:abstractNumId w:val="0"/>
  </w:num>
  <w:num w:numId="9">
    <w:abstractNumId w:val="1"/>
  </w:num>
  <w:num w:numId="10">
    <w:abstractNumId w:val="2"/>
  </w:num>
  <w:num w:numId="11">
    <w:abstractNumId w:val="12"/>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01CF6"/>
    <w:rsid w:val="00053B45"/>
    <w:rsid w:val="00056B46"/>
    <w:rsid w:val="000B2160"/>
    <w:rsid w:val="000E7008"/>
    <w:rsid w:val="0014421F"/>
    <w:rsid w:val="00186755"/>
    <w:rsid w:val="00202CDD"/>
    <w:rsid w:val="002165F7"/>
    <w:rsid w:val="00221D41"/>
    <w:rsid w:val="002333E8"/>
    <w:rsid w:val="00265F28"/>
    <w:rsid w:val="00270CF9"/>
    <w:rsid w:val="00355C17"/>
    <w:rsid w:val="00377DB5"/>
    <w:rsid w:val="00380BBD"/>
    <w:rsid w:val="00395A16"/>
    <w:rsid w:val="003B32B4"/>
    <w:rsid w:val="003C00C5"/>
    <w:rsid w:val="003D3674"/>
    <w:rsid w:val="00401CF6"/>
    <w:rsid w:val="00434467"/>
    <w:rsid w:val="004419EE"/>
    <w:rsid w:val="004600FF"/>
    <w:rsid w:val="00486CC2"/>
    <w:rsid w:val="004B186D"/>
    <w:rsid w:val="004C61BE"/>
    <w:rsid w:val="00526C50"/>
    <w:rsid w:val="005C3623"/>
    <w:rsid w:val="005D0370"/>
    <w:rsid w:val="005E611A"/>
    <w:rsid w:val="00627ACE"/>
    <w:rsid w:val="0066146D"/>
    <w:rsid w:val="0070209C"/>
    <w:rsid w:val="007200D6"/>
    <w:rsid w:val="007222CD"/>
    <w:rsid w:val="00747039"/>
    <w:rsid w:val="00775B7A"/>
    <w:rsid w:val="00782DF6"/>
    <w:rsid w:val="00786AC2"/>
    <w:rsid w:val="007F791D"/>
    <w:rsid w:val="00873499"/>
    <w:rsid w:val="00893323"/>
    <w:rsid w:val="009959C1"/>
    <w:rsid w:val="009C304A"/>
    <w:rsid w:val="00A42E89"/>
    <w:rsid w:val="00AB3490"/>
    <w:rsid w:val="00AD3932"/>
    <w:rsid w:val="00B26CD7"/>
    <w:rsid w:val="00B819E5"/>
    <w:rsid w:val="00BC513C"/>
    <w:rsid w:val="00BE0100"/>
    <w:rsid w:val="00BF14B6"/>
    <w:rsid w:val="00C0337B"/>
    <w:rsid w:val="00C07A71"/>
    <w:rsid w:val="00C33184"/>
    <w:rsid w:val="00C35F47"/>
    <w:rsid w:val="00C7423E"/>
    <w:rsid w:val="00C87A8E"/>
    <w:rsid w:val="00C97AB9"/>
    <w:rsid w:val="00CA39FF"/>
    <w:rsid w:val="00D06E14"/>
    <w:rsid w:val="00D21882"/>
    <w:rsid w:val="00D25BE4"/>
    <w:rsid w:val="00D32AC2"/>
    <w:rsid w:val="00D61A39"/>
    <w:rsid w:val="00ED1E70"/>
    <w:rsid w:val="00EE093F"/>
    <w:rsid w:val="00F355D7"/>
    <w:rsid w:val="00F60FA2"/>
    <w:rsid w:val="00FA79BD"/>
    <w:rsid w:val="00FC160C"/>
    <w:rsid w:val="00FC6E4D"/>
    <w:rsid w:val="00FF27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055547290387024502-20102011">
    <w:name w:val="yiv2055547290387024502-20102011"/>
    <w:basedOn w:val="DefaultParagraphFont"/>
    <w:uiPriority w:val="99"/>
    <w:rsid w:val="00401CF6"/>
    <w:rPr>
      <w:rFonts w:cs="Times New Roman"/>
    </w:rPr>
  </w:style>
  <w:style w:type="character" w:customStyle="1" w:styleId="yshortcuts">
    <w:name w:val="yshortcuts"/>
    <w:basedOn w:val="DefaultParagraphFont"/>
    <w:uiPriority w:val="99"/>
    <w:rsid w:val="00401CF6"/>
    <w:rPr>
      <w:rFonts w:cs="Times New Roman"/>
    </w:rPr>
  </w:style>
  <w:style w:type="paragraph" w:styleId="BalloonText">
    <w:name w:val="Balloon Text"/>
    <w:basedOn w:val="Normal"/>
    <w:link w:val="BalloonTextChar"/>
    <w:uiPriority w:val="99"/>
    <w:semiHidden/>
    <w:unhideWhenUsed/>
    <w:rsid w:val="00C07A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7A71"/>
    <w:rPr>
      <w:rFonts w:ascii="Lucida Grande" w:hAnsi="Lucida Grande" w:cs="Lucida Grande"/>
      <w:sz w:val="18"/>
      <w:szCs w:val="18"/>
    </w:rPr>
  </w:style>
  <w:style w:type="paragraph" w:styleId="ListParagraph">
    <w:name w:val="List Paragraph"/>
    <w:basedOn w:val="Normal"/>
    <w:uiPriority w:val="34"/>
    <w:qFormat/>
    <w:rsid w:val="00C07A71"/>
    <w:pPr>
      <w:ind w:left="720"/>
      <w:contextualSpacing/>
    </w:pPr>
  </w:style>
  <w:style w:type="character" w:styleId="Strong">
    <w:name w:val="Strong"/>
    <w:uiPriority w:val="22"/>
    <w:qFormat/>
    <w:locked/>
    <w:rsid w:val="000B2160"/>
    <w:rPr>
      <w:b/>
      <w:bCs/>
    </w:rPr>
  </w:style>
  <w:style w:type="character" w:styleId="Hyperlink">
    <w:name w:val="Hyperlink"/>
    <w:uiPriority w:val="99"/>
    <w:rsid w:val="000B2160"/>
    <w:rPr>
      <w:color w:val="0000FF"/>
      <w:u w:val="single"/>
    </w:rPr>
  </w:style>
  <w:style w:type="paragraph" w:customStyle="1" w:styleId="Default">
    <w:name w:val="Default"/>
    <w:basedOn w:val="Normal"/>
    <w:rsid w:val="00D32AC2"/>
    <w:pPr>
      <w:autoSpaceDE w:val="0"/>
      <w:autoSpaceDN w:val="0"/>
      <w:spacing w:after="0" w:line="240" w:lineRule="auto"/>
    </w:pPr>
    <w:rPr>
      <w:rFonts w:ascii="Times New Roman" w:eastAsiaTheme="minorHAnsi" w:hAnsi="Times New Roman"/>
      <w:color w:val="000000"/>
      <w:sz w:val="24"/>
      <w:szCs w:val="24"/>
    </w:rPr>
  </w:style>
  <w:style w:type="paragraph" w:styleId="PlainText">
    <w:name w:val="Plain Text"/>
    <w:basedOn w:val="Normal"/>
    <w:link w:val="PlainTextChar"/>
    <w:uiPriority w:val="99"/>
    <w:semiHidden/>
    <w:unhideWhenUsed/>
    <w:rsid w:val="00270CF9"/>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270CF9"/>
    <w:rPr>
      <w:rFonts w:ascii="Consolas" w:eastAsiaTheme="minorHAnsi"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055547290387024502-20102011">
    <w:name w:val="yiv2055547290387024502-20102011"/>
    <w:basedOn w:val="DefaultParagraphFont"/>
    <w:uiPriority w:val="99"/>
    <w:rsid w:val="00401CF6"/>
    <w:rPr>
      <w:rFonts w:cs="Times New Roman"/>
    </w:rPr>
  </w:style>
  <w:style w:type="character" w:customStyle="1" w:styleId="yshortcuts">
    <w:name w:val="yshortcuts"/>
    <w:basedOn w:val="DefaultParagraphFont"/>
    <w:uiPriority w:val="99"/>
    <w:rsid w:val="00401CF6"/>
    <w:rPr>
      <w:rFonts w:cs="Times New Roman"/>
    </w:rPr>
  </w:style>
  <w:style w:type="paragraph" w:styleId="BalloonText">
    <w:name w:val="Balloon Text"/>
    <w:basedOn w:val="Normal"/>
    <w:link w:val="BalloonTextChar"/>
    <w:uiPriority w:val="99"/>
    <w:semiHidden/>
    <w:unhideWhenUsed/>
    <w:rsid w:val="00C07A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7A71"/>
    <w:rPr>
      <w:rFonts w:ascii="Lucida Grande" w:hAnsi="Lucida Grande" w:cs="Lucida Grande"/>
      <w:sz w:val="18"/>
      <w:szCs w:val="18"/>
    </w:rPr>
  </w:style>
  <w:style w:type="paragraph" w:styleId="ListParagraph">
    <w:name w:val="List Paragraph"/>
    <w:basedOn w:val="Normal"/>
    <w:uiPriority w:val="34"/>
    <w:qFormat/>
    <w:rsid w:val="00C07A71"/>
    <w:pPr>
      <w:ind w:left="720"/>
      <w:contextualSpacing/>
    </w:pPr>
  </w:style>
  <w:style w:type="character" w:styleId="Strong">
    <w:name w:val="Strong"/>
    <w:uiPriority w:val="22"/>
    <w:qFormat/>
    <w:locked/>
    <w:rsid w:val="000B2160"/>
    <w:rPr>
      <w:b/>
      <w:bCs/>
    </w:rPr>
  </w:style>
  <w:style w:type="character" w:styleId="Hyperlink">
    <w:name w:val="Hyperlink"/>
    <w:uiPriority w:val="99"/>
    <w:rsid w:val="000B2160"/>
    <w:rPr>
      <w:color w:val="0000FF"/>
      <w:u w:val="single"/>
    </w:rPr>
  </w:style>
</w:styles>
</file>

<file path=word/webSettings.xml><?xml version="1.0" encoding="utf-8"?>
<w:webSettings xmlns:r="http://schemas.openxmlformats.org/officeDocument/2006/relationships" xmlns:w="http://schemas.openxmlformats.org/wordprocessingml/2006/main">
  <w:divs>
    <w:div w:id="365640322">
      <w:bodyDiv w:val="1"/>
      <w:marLeft w:val="0"/>
      <w:marRight w:val="0"/>
      <w:marTop w:val="0"/>
      <w:marBottom w:val="0"/>
      <w:divBdr>
        <w:top w:val="none" w:sz="0" w:space="0" w:color="auto"/>
        <w:left w:val="none" w:sz="0" w:space="0" w:color="auto"/>
        <w:bottom w:val="none" w:sz="0" w:space="0" w:color="auto"/>
        <w:right w:val="none" w:sz="0" w:space="0" w:color="auto"/>
      </w:divBdr>
    </w:div>
    <w:div w:id="700010252">
      <w:marLeft w:val="0"/>
      <w:marRight w:val="0"/>
      <w:marTop w:val="0"/>
      <w:marBottom w:val="0"/>
      <w:divBdr>
        <w:top w:val="none" w:sz="0" w:space="0" w:color="auto"/>
        <w:left w:val="none" w:sz="0" w:space="0" w:color="auto"/>
        <w:bottom w:val="none" w:sz="0" w:space="0" w:color="auto"/>
        <w:right w:val="none" w:sz="0" w:space="0" w:color="auto"/>
      </w:divBdr>
      <w:divsChild>
        <w:div w:id="700010242">
          <w:marLeft w:val="0"/>
          <w:marRight w:val="0"/>
          <w:marTop w:val="0"/>
          <w:marBottom w:val="0"/>
          <w:divBdr>
            <w:top w:val="none" w:sz="0" w:space="0" w:color="auto"/>
            <w:left w:val="none" w:sz="0" w:space="0" w:color="auto"/>
            <w:bottom w:val="none" w:sz="0" w:space="0" w:color="auto"/>
            <w:right w:val="none" w:sz="0" w:space="0" w:color="auto"/>
          </w:divBdr>
        </w:div>
        <w:div w:id="700010243">
          <w:marLeft w:val="0"/>
          <w:marRight w:val="0"/>
          <w:marTop w:val="0"/>
          <w:marBottom w:val="0"/>
          <w:divBdr>
            <w:top w:val="none" w:sz="0" w:space="0" w:color="auto"/>
            <w:left w:val="none" w:sz="0" w:space="0" w:color="auto"/>
            <w:bottom w:val="none" w:sz="0" w:space="0" w:color="auto"/>
            <w:right w:val="none" w:sz="0" w:space="0" w:color="auto"/>
          </w:divBdr>
        </w:div>
        <w:div w:id="700010244">
          <w:marLeft w:val="0"/>
          <w:marRight w:val="0"/>
          <w:marTop w:val="0"/>
          <w:marBottom w:val="0"/>
          <w:divBdr>
            <w:top w:val="none" w:sz="0" w:space="0" w:color="auto"/>
            <w:left w:val="none" w:sz="0" w:space="0" w:color="auto"/>
            <w:bottom w:val="none" w:sz="0" w:space="0" w:color="auto"/>
            <w:right w:val="none" w:sz="0" w:space="0" w:color="auto"/>
          </w:divBdr>
        </w:div>
        <w:div w:id="700010245">
          <w:marLeft w:val="0"/>
          <w:marRight w:val="0"/>
          <w:marTop w:val="0"/>
          <w:marBottom w:val="0"/>
          <w:divBdr>
            <w:top w:val="none" w:sz="0" w:space="0" w:color="auto"/>
            <w:left w:val="none" w:sz="0" w:space="0" w:color="auto"/>
            <w:bottom w:val="none" w:sz="0" w:space="0" w:color="auto"/>
            <w:right w:val="none" w:sz="0" w:space="0" w:color="auto"/>
          </w:divBdr>
        </w:div>
        <w:div w:id="700010246">
          <w:marLeft w:val="0"/>
          <w:marRight w:val="0"/>
          <w:marTop w:val="0"/>
          <w:marBottom w:val="0"/>
          <w:divBdr>
            <w:top w:val="none" w:sz="0" w:space="0" w:color="auto"/>
            <w:left w:val="none" w:sz="0" w:space="0" w:color="auto"/>
            <w:bottom w:val="none" w:sz="0" w:space="0" w:color="auto"/>
            <w:right w:val="none" w:sz="0" w:space="0" w:color="auto"/>
          </w:divBdr>
        </w:div>
        <w:div w:id="700010247">
          <w:marLeft w:val="0"/>
          <w:marRight w:val="0"/>
          <w:marTop w:val="0"/>
          <w:marBottom w:val="0"/>
          <w:divBdr>
            <w:top w:val="none" w:sz="0" w:space="0" w:color="auto"/>
            <w:left w:val="none" w:sz="0" w:space="0" w:color="auto"/>
            <w:bottom w:val="none" w:sz="0" w:space="0" w:color="auto"/>
            <w:right w:val="none" w:sz="0" w:space="0" w:color="auto"/>
          </w:divBdr>
        </w:div>
        <w:div w:id="700010248">
          <w:marLeft w:val="0"/>
          <w:marRight w:val="0"/>
          <w:marTop w:val="0"/>
          <w:marBottom w:val="0"/>
          <w:divBdr>
            <w:top w:val="none" w:sz="0" w:space="0" w:color="auto"/>
            <w:left w:val="none" w:sz="0" w:space="0" w:color="auto"/>
            <w:bottom w:val="none" w:sz="0" w:space="0" w:color="auto"/>
            <w:right w:val="none" w:sz="0" w:space="0" w:color="auto"/>
          </w:divBdr>
        </w:div>
        <w:div w:id="700010249">
          <w:marLeft w:val="0"/>
          <w:marRight w:val="0"/>
          <w:marTop w:val="0"/>
          <w:marBottom w:val="0"/>
          <w:divBdr>
            <w:top w:val="none" w:sz="0" w:space="0" w:color="auto"/>
            <w:left w:val="none" w:sz="0" w:space="0" w:color="auto"/>
            <w:bottom w:val="none" w:sz="0" w:space="0" w:color="auto"/>
            <w:right w:val="none" w:sz="0" w:space="0" w:color="auto"/>
          </w:divBdr>
        </w:div>
        <w:div w:id="700010250">
          <w:marLeft w:val="0"/>
          <w:marRight w:val="0"/>
          <w:marTop w:val="0"/>
          <w:marBottom w:val="0"/>
          <w:divBdr>
            <w:top w:val="none" w:sz="0" w:space="0" w:color="auto"/>
            <w:left w:val="none" w:sz="0" w:space="0" w:color="auto"/>
            <w:bottom w:val="none" w:sz="0" w:space="0" w:color="auto"/>
            <w:right w:val="none" w:sz="0" w:space="0" w:color="auto"/>
          </w:divBdr>
        </w:div>
        <w:div w:id="700010251">
          <w:marLeft w:val="0"/>
          <w:marRight w:val="0"/>
          <w:marTop w:val="0"/>
          <w:marBottom w:val="0"/>
          <w:divBdr>
            <w:top w:val="none" w:sz="0" w:space="0" w:color="auto"/>
            <w:left w:val="none" w:sz="0" w:space="0" w:color="auto"/>
            <w:bottom w:val="none" w:sz="0" w:space="0" w:color="auto"/>
            <w:right w:val="none" w:sz="0" w:space="0" w:color="auto"/>
          </w:divBdr>
        </w:div>
        <w:div w:id="700010253">
          <w:marLeft w:val="0"/>
          <w:marRight w:val="0"/>
          <w:marTop w:val="0"/>
          <w:marBottom w:val="0"/>
          <w:divBdr>
            <w:top w:val="none" w:sz="0" w:space="0" w:color="auto"/>
            <w:left w:val="none" w:sz="0" w:space="0" w:color="auto"/>
            <w:bottom w:val="none" w:sz="0" w:space="0" w:color="auto"/>
            <w:right w:val="none" w:sz="0" w:space="0" w:color="auto"/>
          </w:divBdr>
        </w:div>
        <w:div w:id="700010254">
          <w:marLeft w:val="0"/>
          <w:marRight w:val="0"/>
          <w:marTop w:val="0"/>
          <w:marBottom w:val="0"/>
          <w:divBdr>
            <w:top w:val="none" w:sz="0" w:space="0" w:color="auto"/>
            <w:left w:val="none" w:sz="0" w:space="0" w:color="auto"/>
            <w:bottom w:val="none" w:sz="0" w:space="0" w:color="auto"/>
            <w:right w:val="none" w:sz="0" w:space="0" w:color="auto"/>
          </w:divBdr>
        </w:div>
        <w:div w:id="700010255">
          <w:marLeft w:val="0"/>
          <w:marRight w:val="0"/>
          <w:marTop w:val="0"/>
          <w:marBottom w:val="0"/>
          <w:divBdr>
            <w:top w:val="none" w:sz="0" w:space="0" w:color="auto"/>
            <w:left w:val="none" w:sz="0" w:space="0" w:color="auto"/>
            <w:bottom w:val="none" w:sz="0" w:space="0" w:color="auto"/>
            <w:right w:val="none" w:sz="0" w:space="0" w:color="auto"/>
          </w:divBdr>
        </w:div>
        <w:div w:id="700010256">
          <w:marLeft w:val="0"/>
          <w:marRight w:val="0"/>
          <w:marTop w:val="0"/>
          <w:marBottom w:val="0"/>
          <w:divBdr>
            <w:top w:val="none" w:sz="0" w:space="0" w:color="auto"/>
            <w:left w:val="none" w:sz="0" w:space="0" w:color="auto"/>
            <w:bottom w:val="none" w:sz="0" w:space="0" w:color="auto"/>
            <w:right w:val="none" w:sz="0" w:space="0" w:color="auto"/>
          </w:divBdr>
        </w:div>
        <w:div w:id="700010257">
          <w:marLeft w:val="0"/>
          <w:marRight w:val="0"/>
          <w:marTop w:val="0"/>
          <w:marBottom w:val="0"/>
          <w:divBdr>
            <w:top w:val="none" w:sz="0" w:space="0" w:color="auto"/>
            <w:left w:val="none" w:sz="0" w:space="0" w:color="auto"/>
            <w:bottom w:val="none" w:sz="0" w:space="0" w:color="auto"/>
            <w:right w:val="none" w:sz="0" w:space="0" w:color="auto"/>
          </w:divBdr>
        </w:div>
        <w:div w:id="700010258">
          <w:marLeft w:val="0"/>
          <w:marRight w:val="0"/>
          <w:marTop w:val="0"/>
          <w:marBottom w:val="0"/>
          <w:divBdr>
            <w:top w:val="none" w:sz="0" w:space="0" w:color="auto"/>
            <w:left w:val="none" w:sz="0" w:space="0" w:color="auto"/>
            <w:bottom w:val="none" w:sz="0" w:space="0" w:color="auto"/>
            <w:right w:val="none" w:sz="0" w:space="0" w:color="auto"/>
          </w:divBdr>
        </w:div>
        <w:div w:id="700010259">
          <w:marLeft w:val="0"/>
          <w:marRight w:val="0"/>
          <w:marTop w:val="0"/>
          <w:marBottom w:val="0"/>
          <w:divBdr>
            <w:top w:val="none" w:sz="0" w:space="0" w:color="auto"/>
            <w:left w:val="none" w:sz="0" w:space="0" w:color="auto"/>
            <w:bottom w:val="none" w:sz="0" w:space="0" w:color="auto"/>
            <w:right w:val="none" w:sz="0" w:space="0" w:color="auto"/>
          </w:divBdr>
        </w:div>
      </w:divsChild>
    </w:div>
    <w:div w:id="834801954">
      <w:bodyDiv w:val="1"/>
      <w:marLeft w:val="0"/>
      <w:marRight w:val="0"/>
      <w:marTop w:val="0"/>
      <w:marBottom w:val="0"/>
      <w:divBdr>
        <w:top w:val="none" w:sz="0" w:space="0" w:color="auto"/>
        <w:left w:val="none" w:sz="0" w:space="0" w:color="auto"/>
        <w:bottom w:val="none" w:sz="0" w:space="0" w:color="auto"/>
        <w:right w:val="none" w:sz="0" w:space="0" w:color="auto"/>
      </w:divBdr>
    </w:div>
    <w:div w:id="88094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ernhealthcare.com/article/20130604/NEW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odernhealthcare.com/article/20130621/NEW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Rpannin1@fairview.org" TargetMode="External"/><Relationship Id="rId5" Type="http://schemas.openxmlformats.org/officeDocument/2006/relationships/webSettings" Target="webSettings.xml"/><Relationship Id="rId10" Type="http://schemas.openxmlformats.org/officeDocument/2006/relationships/hyperlink" Target="http://www.cms.gov/Medicare/Medicare-Fee-For-Service-Payment/ClinicalLabFeeSched/Gapfill-Pricing-Inquiries.html" TargetMode="External"/><Relationship Id="rId4" Type="http://schemas.openxmlformats.org/officeDocument/2006/relationships/settings" Target="settings.xml"/><Relationship Id="rId9" Type="http://schemas.openxmlformats.org/officeDocument/2006/relationships/hyperlink" Target="http://oig.hhs.gov/oei/reports/oei-07-11-00010.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D27F1-6735-44B4-AFD7-E04B4DC5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1351</Words>
  <Characters>8139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To all ASCLS members:</vt:lpstr>
    </vt:vector>
  </TitlesOfParts>
  <Company>Hewlett-Packard</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all ASCLS members:</dc:title>
  <dc:creator>Theresa R. Ortner</dc:creator>
  <cp:lastModifiedBy>elissap</cp:lastModifiedBy>
  <cp:revision>3</cp:revision>
  <cp:lastPrinted>2013-06-24T19:00:00Z</cp:lastPrinted>
  <dcterms:created xsi:type="dcterms:W3CDTF">2013-06-24T19:17:00Z</dcterms:created>
  <dcterms:modified xsi:type="dcterms:W3CDTF">2013-06-28T20:59:00Z</dcterms:modified>
</cp:coreProperties>
</file>