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39" w:rsidRDefault="00C87A8E" w:rsidP="00401CF6">
      <w:pPr>
        <w:spacing w:after="0" w:line="240" w:lineRule="auto"/>
      </w:pPr>
      <w:r>
        <w:rPr>
          <w:noProof/>
        </w:rPr>
        <w:drawing>
          <wp:inline distT="0" distB="0" distL="0" distR="0">
            <wp:extent cx="53594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59400" cy="1244600"/>
                    </a:xfrm>
                    <a:prstGeom prst="rect">
                      <a:avLst/>
                    </a:prstGeom>
                    <a:noFill/>
                    <a:ln>
                      <a:noFill/>
                    </a:ln>
                  </pic:spPr>
                </pic:pic>
              </a:graphicData>
            </a:graphic>
          </wp:inline>
        </w:drawing>
      </w:r>
    </w:p>
    <w:p w:rsidR="00D61A39" w:rsidRPr="00C07A71" w:rsidRDefault="00D61A39" w:rsidP="004600FF">
      <w:pPr>
        <w:spacing w:line="240" w:lineRule="auto"/>
        <w:jc w:val="center"/>
        <w:rPr>
          <w:rFonts w:ascii="Arial" w:hAnsi="Arial" w:cs="Arial"/>
          <w:b/>
          <w:i/>
          <w:sz w:val="32"/>
          <w:szCs w:val="32"/>
        </w:rPr>
      </w:pPr>
      <w:r w:rsidRPr="00C07A71">
        <w:rPr>
          <w:rFonts w:ascii="Arial" w:hAnsi="Arial" w:cs="Arial"/>
          <w:b/>
          <w:i/>
          <w:sz w:val="32"/>
          <w:szCs w:val="32"/>
        </w:rPr>
        <w:t>Government Affairs Committee (GAC)</w:t>
      </w:r>
    </w:p>
    <w:p w:rsidR="00D61A39" w:rsidRPr="00C07A71" w:rsidRDefault="00DE5B3A" w:rsidP="004600FF">
      <w:pPr>
        <w:spacing w:line="240" w:lineRule="auto"/>
        <w:jc w:val="center"/>
        <w:rPr>
          <w:rFonts w:ascii="Arial" w:hAnsi="Arial" w:cs="Arial"/>
          <w:b/>
          <w:i/>
          <w:sz w:val="32"/>
          <w:szCs w:val="32"/>
        </w:rPr>
      </w:pPr>
      <w:r>
        <w:rPr>
          <w:rFonts w:ascii="Arial" w:hAnsi="Arial" w:cs="Arial"/>
          <w:b/>
          <w:i/>
          <w:sz w:val="32"/>
          <w:szCs w:val="32"/>
        </w:rPr>
        <w:t>e</w:t>
      </w:r>
      <w:r w:rsidR="00D61A39" w:rsidRPr="00C07A71">
        <w:rPr>
          <w:rFonts w:ascii="Arial" w:hAnsi="Arial" w:cs="Arial"/>
          <w:b/>
          <w:i/>
          <w:sz w:val="32"/>
          <w:szCs w:val="32"/>
        </w:rPr>
        <w:t>-newsletter</w:t>
      </w:r>
    </w:p>
    <w:p w:rsidR="00D61A39" w:rsidRPr="00AD3932" w:rsidRDefault="00D61A39" w:rsidP="004600FF">
      <w:pPr>
        <w:spacing w:line="240" w:lineRule="auto"/>
        <w:jc w:val="center"/>
        <w:rPr>
          <w:rFonts w:ascii="Arial" w:hAnsi="Arial" w:cs="Arial"/>
          <w:b/>
          <w:i/>
          <w:sz w:val="28"/>
          <w:szCs w:val="28"/>
        </w:rPr>
      </w:pPr>
      <w:r w:rsidRPr="00AD3932">
        <w:rPr>
          <w:rFonts w:ascii="Arial" w:hAnsi="Arial" w:cs="Arial"/>
          <w:b/>
          <w:i/>
          <w:sz w:val="28"/>
          <w:szCs w:val="28"/>
        </w:rPr>
        <w:t>Issue #</w:t>
      </w:r>
      <w:r w:rsidR="00DE5B3A">
        <w:rPr>
          <w:rFonts w:ascii="Arial" w:hAnsi="Arial" w:cs="Arial"/>
          <w:b/>
          <w:i/>
          <w:sz w:val="28"/>
          <w:szCs w:val="28"/>
        </w:rPr>
        <w:t>15</w:t>
      </w:r>
      <w:r w:rsidRPr="00AD3932">
        <w:rPr>
          <w:rFonts w:ascii="Arial" w:hAnsi="Arial" w:cs="Arial"/>
          <w:b/>
          <w:i/>
          <w:sz w:val="28"/>
          <w:szCs w:val="28"/>
        </w:rPr>
        <w:t xml:space="preserve"> –</w:t>
      </w:r>
      <w:r w:rsidR="00DE5B3A">
        <w:rPr>
          <w:rFonts w:ascii="Arial" w:hAnsi="Arial" w:cs="Arial"/>
          <w:b/>
          <w:i/>
          <w:sz w:val="28"/>
          <w:szCs w:val="28"/>
        </w:rPr>
        <w:t>August</w:t>
      </w:r>
      <w:r w:rsidR="007222CD">
        <w:rPr>
          <w:rFonts w:ascii="Arial" w:hAnsi="Arial" w:cs="Arial"/>
          <w:b/>
          <w:i/>
          <w:sz w:val="28"/>
          <w:szCs w:val="28"/>
        </w:rPr>
        <w:t xml:space="preserve"> 2013</w:t>
      </w:r>
    </w:p>
    <w:p w:rsidR="00D61A39" w:rsidRPr="008272BD" w:rsidRDefault="00D61A39" w:rsidP="004600FF">
      <w:pPr>
        <w:rPr>
          <w:rFonts w:ascii="Arial" w:hAnsi="Arial" w:cs="Arial"/>
          <w:sz w:val="20"/>
          <w:szCs w:val="20"/>
        </w:rPr>
      </w:pPr>
      <w:r w:rsidRPr="008272BD">
        <w:rPr>
          <w:rFonts w:ascii="Arial" w:hAnsi="Arial" w:cs="Arial"/>
          <w:sz w:val="20"/>
          <w:szCs w:val="20"/>
        </w:rPr>
        <w:t xml:space="preserve">One of the strategic goals for our committee is to improve communication to the broader ASCLS membership and to provide a more consistent face to our members.  The GAC e-newsletters are also available on the </w:t>
      </w:r>
      <w:r w:rsidRPr="008272BD">
        <w:rPr>
          <w:rFonts w:ascii="Arial" w:hAnsi="Arial" w:cs="Arial"/>
          <w:b/>
          <w:i/>
          <w:sz w:val="20"/>
          <w:szCs w:val="20"/>
        </w:rPr>
        <w:t>ASCLS Advocates for You</w:t>
      </w:r>
      <w:r w:rsidRPr="008272BD">
        <w:rPr>
          <w:rFonts w:ascii="Arial" w:hAnsi="Arial" w:cs="Arial"/>
          <w:sz w:val="20"/>
          <w:szCs w:val="20"/>
        </w:rPr>
        <w:t xml:space="preserve"> section of the ASCLS website.</w:t>
      </w:r>
    </w:p>
    <w:p w:rsidR="00D61A39" w:rsidRPr="00C07A71" w:rsidRDefault="00D61A39" w:rsidP="004600FF">
      <w:pPr>
        <w:rPr>
          <w:rFonts w:ascii="Arial" w:hAnsi="Arial" w:cs="Arial"/>
          <w:b/>
          <w:i/>
          <w:sz w:val="28"/>
          <w:szCs w:val="28"/>
        </w:rPr>
      </w:pPr>
      <w:r w:rsidRPr="00C07A71">
        <w:rPr>
          <w:rFonts w:ascii="Arial" w:hAnsi="Arial" w:cs="Arial"/>
          <w:b/>
          <w:i/>
          <w:sz w:val="28"/>
          <w:szCs w:val="28"/>
        </w:rPr>
        <w:t>In this issue…</w:t>
      </w:r>
    </w:p>
    <w:p w:rsidR="00DE5B3A" w:rsidRPr="008272BD" w:rsidRDefault="00DE5B3A" w:rsidP="004600FF">
      <w:pPr>
        <w:numPr>
          <w:ilvl w:val="0"/>
          <w:numId w:val="2"/>
        </w:numPr>
        <w:spacing w:after="0" w:line="240" w:lineRule="auto"/>
        <w:rPr>
          <w:rFonts w:ascii="Arial" w:hAnsi="Arial" w:cs="Arial"/>
          <w:sz w:val="24"/>
          <w:szCs w:val="24"/>
        </w:rPr>
      </w:pPr>
      <w:r w:rsidRPr="008272BD">
        <w:rPr>
          <w:rFonts w:ascii="Arial" w:hAnsi="Arial" w:cs="Arial"/>
          <w:sz w:val="24"/>
          <w:szCs w:val="24"/>
        </w:rPr>
        <w:t xml:space="preserve">CMS (Center for Medicare and Medicaid Services) July </w:t>
      </w:r>
      <w:r w:rsidR="00122AB5">
        <w:rPr>
          <w:rFonts w:ascii="Arial" w:hAnsi="Arial" w:cs="Arial"/>
          <w:sz w:val="24"/>
          <w:szCs w:val="24"/>
        </w:rPr>
        <w:t>1</w:t>
      </w:r>
      <w:r w:rsidRPr="008272BD">
        <w:rPr>
          <w:rFonts w:ascii="Arial" w:hAnsi="Arial" w:cs="Arial"/>
          <w:sz w:val="24"/>
          <w:szCs w:val="24"/>
        </w:rPr>
        <w:t>9, 2013 Proposed Rule</w:t>
      </w:r>
    </w:p>
    <w:p w:rsidR="00DE5B3A" w:rsidRPr="008272BD" w:rsidRDefault="00DE5B3A" w:rsidP="00DE5B3A">
      <w:pPr>
        <w:numPr>
          <w:ilvl w:val="1"/>
          <w:numId w:val="2"/>
        </w:numPr>
        <w:spacing w:after="0" w:line="240" w:lineRule="auto"/>
        <w:rPr>
          <w:rFonts w:ascii="Arial" w:hAnsi="Arial" w:cs="Arial"/>
          <w:sz w:val="24"/>
          <w:szCs w:val="24"/>
        </w:rPr>
      </w:pPr>
      <w:r w:rsidRPr="008272BD">
        <w:rPr>
          <w:rFonts w:ascii="Arial" w:hAnsi="Arial" w:cs="Arial"/>
          <w:sz w:val="24"/>
          <w:szCs w:val="24"/>
        </w:rPr>
        <w:t>Clinical Laboratory Fee Schedule review and adjustment</w:t>
      </w:r>
    </w:p>
    <w:p w:rsidR="00DE5B3A" w:rsidRPr="008272BD" w:rsidRDefault="006227F4" w:rsidP="00DE5B3A">
      <w:pPr>
        <w:numPr>
          <w:ilvl w:val="1"/>
          <w:numId w:val="2"/>
        </w:numPr>
        <w:spacing w:after="0" w:line="240" w:lineRule="auto"/>
        <w:rPr>
          <w:rFonts w:ascii="Arial" w:hAnsi="Arial" w:cs="Arial"/>
          <w:sz w:val="24"/>
          <w:szCs w:val="24"/>
        </w:rPr>
      </w:pPr>
      <w:r w:rsidRPr="008272BD">
        <w:rPr>
          <w:rFonts w:ascii="Arial" w:hAnsi="Arial" w:cs="Arial"/>
          <w:sz w:val="24"/>
          <w:szCs w:val="24"/>
        </w:rPr>
        <w:t>Hospital outpatient b</w:t>
      </w:r>
      <w:r w:rsidR="00DE5B3A" w:rsidRPr="008272BD">
        <w:rPr>
          <w:rFonts w:ascii="Arial" w:hAnsi="Arial" w:cs="Arial"/>
          <w:sz w:val="24"/>
          <w:szCs w:val="24"/>
        </w:rPr>
        <w:t>undling of laboratory tests</w:t>
      </w:r>
    </w:p>
    <w:p w:rsidR="00DE5B3A" w:rsidRPr="008272BD" w:rsidRDefault="00DE5B3A" w:rsidP="00DE5B3A">
      <w:pPr>
        <w:numPr>
          <w:ilvl w:val="1"/>
          <w:numId w:val="2"/>
        </w:numPr>
        <w:spacing w:after="0" w:line="240" w:lineRule="auto"/>
        <w:rPr>
          <w:rFonts w:ascii="Arial" w:hAnsi="Arial" w:cs="Arial"/>
          <w:sz w:val="24"/>
          <w:szCs w:val="24"/>
        </w:rPr>
      </w:pPr>
      <w:r w:rsidRPr="008272BD">
        <w:rPr>
          <w:rFonts w:ascii="Arial" w:hAnsi="Arial" w:cs="Arial"/>
          <w:sz w:val="24"/>
          <w:szCs w:val="24"/>
        </w:rPr>
        <w:t>Pathology technical component reimbursement reductions under the physician fee schedule</w:t>
      </w:r>
    </w:p>
    <w:p w:rsidR="00893323" w:rsidRPr="008272BD" w:rsidRDefault="007222CD" w:rsidP="004600FF">
      <w:pPr>
        <w:numPr>
          <w:ilvl w:val="0"/>
          <w:numId w:val="2"/>
        </w:numPr>
        <w:spacing w:after="0" w:line="240" w:lineRule="auto"/>
        <w:rPr>
          <w:rFonts w:ascii="Arial" w:hAnsi="Arial" w:cs="Arial"/>
          <w:sz w:val="24"/>
          <w:szCs w:val="24"/>
        </w:rPr>
      </w:pPr>
      <w:r w:rsidRPr="008272BD">
        <w:rPr>
          <w:rFonts w:ascii="Arial" w:hAnsi="Arial" w:cs="Arial"/>
          <w:sz w:val="24"/>
          <w:szCs w:val="24"/>
        </w:rPr>
        <w:t>Fixing the Sustainable Growth Rate (SGR)</w:t>
      </w:r>
    </w:p>
    <w:p w:rsidR="00D32AC2" w:rsidRPr="008272BD" w:rsidRDefault="005C3623" w:rsidP="007222CD">
      <w:pPr>
        <w:numPr>
          <w:ilvl w:val="0"/>
          <w:numId w:val="2"/>
        </w:numPr>
        <w:spacing w:after="0" w:line="240" w:lineRule="auto"/>
        <w:rPr>
          <w:rFonts w:ascii="Arial" w:hAnsi="Arial" w:cs="Arial"/>
          <w:sz w:val="24"/>
          <w:szCs w:val="24"/>
        </w:rPr>
      </w:pPr>
      <w:r w:rsidRPr="008272BD">
        <w:rPr>
          <w:rFonts w:ascii="Arial" w:hAnsi="Arial" w:cs="Arial"/>
          <w:sz w:val="24"/>
          <w:szCs w:val="24"/>
        </w:rPr>
        <w:t xml:space="preserve">OIG Report on CMS Laboratory Payment </w:t>
      </w:r>
    </w:p>
    <w:p w:rsidR="00DE5B3A" w:rsidRPr="008272BD" w:rsidRDefault="00DE5B3A" w:rsidP="007222CD">
      <w:pPr>
        <w:numPr>
          <w:ilvl w:val="0"/>
          <w:numId w:val="2"/>
        </w:numPr>
        <w:spacing w:after="0" w:line="240" w:lineRule="auto"/>
        <w:rPr>
          <w:rFonts w:ascii="Arial" w:hAnsi="Arial" w:cs="Arial"/>
          <w:sz w:val="24"/>
          <w:szCs w:val="24"/>
        </w:rPr>
      </w:pPr>
      <w:r w:rsidRPr="008272BD">
        <w:rPr>
          <w:rFonts w:ascii="Arial" w:hAnsi="Arial" w:cs="Arial"/>
          <w:sz w:val="24"/>
          <w:szCs w:val="24"/>
        </w:rPr>
        <w:t>Government Affairs Committee (GAC) regional liaisons for 2013-2014</w:t>
      </w:r>
    </w:p>
    <w:p w:rsidR="00AD3932" w:rsidRDefault="00AD3932" w:rsidP="00AD3932">
      <w:pPr>
        <w:spacing w:after="0" w:line="240" w:lineRule="auto"/>
        <w:rPr>
          <w:rFonts w:ascii="Arial" w:hAnsi="Arial" w:cs="Arial"/>
          <w:sz w:val="28"/>
          <w:szCs w:val="28"/>
        </w:rPr>
      </w:pPr>
    </w:p>
    <w:p w:rsidR="00DE5B3A" w:rsidRDefault="00DE5B3A" w:rsidP="00DE5B3A">
      <w:pPr>
        <w:spacing w:after="0" w:line="240" w:lineRule="auto"/>
        <w:rPr>
          <w:rFonts w:ascii="Arial" w:hAnsi="Arial" w:cs="Arial"/>
          <w:sz w:val="28"/>
          <w:szCs w:val="28"/>
        </w:rPr>
      </w:pPr>
      <w:r w:rsidRPr="00DE5B3A">
        <w:rPr>
          <w:rFonts w:ascii="Arial" w:hAnsi="Arial" w:cs="Arial"/>
          <w:b/>
          <w:sz w:val="28"/>
          <w:szCs w:val="28"/>
        </w:rPr>
        <w:t>Center for Medicare and Medicaid Services</w:t>
      </w:r>
      <w:r w:rsidR="008272BD">
        <w:rPr>
          <w:rFonts w:ascii="Arial" w:hAnsi="Arial" w:cs="Arial"/>
          <w:b/>
          <w:sz w:val="28"/>
          <w:szCs w:val="28"/>
        </w:rPr>
        <w:t xml:space="preserve"> (CMS</w:t>
      </w:r>
      <w:r w:rsidRPr="00DE5B3A">
        <w:rPr>
          <w:rFonts w:ascii="Arial" w:hAnsi="Arial" w:cs="Arial"/>
          <w:b/>
          <w:sz w:val="28"/>
          <w:szCs w:val="28"/>
        </w:rPr>
        <w:t xml:space="preserve">) July </w:t>
      </w:r>
      <w:r w:rsidR="008272BD">
        <w:rPr>
          <w:rFonts w:ascii="Arial" w:hAnsi="Arial" w:cs="Arial"/>
          <w:b/>
          <w:sz w:val="28"/>
          <w:szCs w:val="28"/>
        </w:rPr>
        <w:t>1</w:t>
      </w:r>
      <w:r w:rsidRPr="00DE5B3A">
        <w:rPr>
          <w:rFonts w:ascii="Arial" w:hAnsi="Arial" w:cs="Arial"/>
          <w:b/>
          <w:sz w:val="28"/>
          <w:szCs w:val="28"/>
        </w:rPr>
        <w:t>9, 2013 Proposed Rule</w:t>
      </w:r>
    </w:p>
    <w:p w:rsidR="00DE5B3A" w:rsidRPr="00E95523" w:rsidRDefault="00DE5B3A" w:rsidP="00DE5B3A">
      <w:pPr>
        <w:spacing w:after="0" w:line="240" w:lineRule="auto"/>
        <w:rPr>
          <w:rFonts w:ascii="Arial" w:hAnsi="Arial" w:cs="Arial"/>
          <w:sz w:val="20"/>
          <w:szCs w:val="20"/>
        </w:rPr>
      </w:pPr>
    </w:p>
    <w:p w:rsidR="00DE5B3A" w:rsidRPr="008272BD" w:rsidRDefault="00E95523" w:rsidP="00DE5B3A">
      <w:pPr>
        <w:spacing w:after="0" w:line="240" w:lineRule="auto"/>
        <w:rPr>
          <w:rFonts w:ascii="Arial" w:hAnsi="Arial" w:cs="Arial"/>
        </w:rPr>
      </w:pPr>
      <w:r w:rsidRPr="008272BD">
        <w:rPr>
          <w:rFonts w:ascii="Arial" w:hAnsi="Arial" w:cs="Arial"/>
        </w:rPr>
        <w:t>T</w:t>
      </w:r>
      <w:r w:rsidR="00DE5B3A" w:rsidRPr="008272BD">
        <w:rPr>
          <w:rFonts w:ascii="Arial" w:hAnsi="Arial" w:cs="Arial"/>
        </w:rPr>
        <w:t xml:space="preserve">he GAC would like to </w:t>
      </w:r>
      <w:r w:rsidR="008272BD">
        <w:rPr>
          <w:rFonts w:ascii="Arial" w:hAnsi="Arial" w:cs="Arial"/>
        </w:rPr>
        <w:t xml:space="preserve">call your attention to the current </w:t>
      </w:r>
      <w:r w:rsidR="00DE5B3A" w:rsidRPr="008272BD">
        <w:rPr>
          <w:rFonts w:ascii="Arial" w:hAnsi="Arial" w:cs="Arial"/>
        </w:rPr>
        <w:t>issues which have the potential to signif</w:t>
      </w:r>
      <w:r w:rsidR="00867186" w:rsidRPr="008272BD">
        <w:rPr>
          <w:rFonts w:ascii="Arial" w:hAnsi="Arial" w:cs="Arial"/>
        </w:rPr>
        <w:t>icantly impact clinical</w:t>
      </w:r>
      <w:r w:rsidR="00DE5B3A" w:rsidRPr="008272BD">
        <w:rPr>
          <w:rFonts w:ascii="Arial" w:hAnsi="Arial" w:cs="Arial"/>
        </w:rPr>
        <w:t xml:space="preserve"> laboratory reimbursement.  While these topics specifically apply to Medicare reimbursement, </w:t>
      </w:r>
      <w:r w:rsidR="008272BD">
        <w:rPr>
          <w:rFonts w:ascii="Arial" w:hAnsi="Arial" w:cs="Arial"/>
        </w:rPr>
        <w:t xml:space="preserve">we know that all health care insurance payers, including private payers and the Medicaid program, tend to follow Medicare’s lead on </w:t>
      </w:r>
      <w:r w:rsidR="00DE5B3A" w:rsidRPr="008272BD">
        <w:rPr>
          <w:rFonts w:ascii="Arial" w:hAnsi="Arial" w:cs="Arial"/>
        </w:rPr>
        <w:t xml:space="preserve"> reimbursement decisions Therefore</w:t>
      </w:r>
      <w:r w:rsidR="00E057DF" w:rsidRPr="008272BD">
        <w:rPr>
          <w:rFonts w:ascii="Arial" w:hAnsi="Arial" w:cs="Arial"/>
        </w:rPr>
        <w:t xml:space="preserve"> these issues have the potential to impact our profession significantly.</w:t>
      </w:r>
    </w:p>
    <w:p w:rsidR="00E057DF" w:rsidRPr="008272BD" w:rsidRDefault="00E057DF" w:rsidP="00DE5B3A">
      <w:pPr>
        <w:spacing w:after="0" w:line="240" w:lineRule="auto"/>
        <w:rPr>
          <w:rFonts w:ascii="Arial" w:hAnsi="Arial" w:cs="Arial"/>
        </w:rPr>
      </w:pPr>
    </w:p>
    <w:p w:rsidR="004C2847" w:rsidRPr="008272BD" w:rsidRDefault="008272BD" w:rsidP="008C35BA">
      <w:pPr>
        <w:pStyle w:val="Default"/>
        <w:pBdr>
          <w:bottom w:val="single" w:sz="12" w:space="16" w:color="auto"/>
        </w:pBdr>
        <w:rPr>
          <w:rFonts w:ascii="Arial" w:hAnsi="Arial" w:cs="Arial"/>
          <w:sz w:val="22"/>
          <w:szCs w:val="22"/>
        </w:rPr>
      </w:pPr>
      <w:r>
        <w:rPr>
          <w:rFonts w:ascii="Arial" w:hAnsi="Arial" w:cs="Arial"/>
          <w:sz w:val="22"/>
          <w:szCs w:val="22"/>
        </w:rPr>
        <w:t>In</w:t>
      </w:r>
      <w:r w:rsidR="004C2847" w:rsidRPr="008272BD">
        <w:rPr>
          <w:rFonts w:ascii="Arial" w:hAnsi="Arial" w:cs="Arial"/>
          <w:sz w:val="22"/>
          <w:szCs w:val="22"/>
        </w:rPr>
        <w:t xml:space="preserve"> June we reported </w:t>
      </w:r>
      <w:r>
        <w:rPr>
          <w:rFonts w:ascii="Arial" w:hAnsi="Arial" w:cs="Arial"/>
          <w:sz w:val="22"/>
          <w:szCs w:val="22"/>
        </w:rPr>
        <w:t xml:space="preserve">to you </w:t>
      </w:r>
      <w:r w:rsidR="004C2847" w:rsidRPr="008272BD">
        <w:rPr>
          <w:rFonts w:ascii="Arial" w:hAnsi="Arial" w:cs="Arial"/>
          <w:sz w:val="22"/>
          <w:szCs w:val="22"/>
        </w:rPr>
        <w:t xml:space="preserve">that </w:t>
      </w:r>
      <w:r>
        <w:rPr>
          <w:rFonts w:ascii="Arial" w:hAnsi="Arial" w:cs="Arial"/>
          <w:sz w:val="22"/>
          <w:szCs w:val="22"/>
        </w:rPr>
        <w:t>t</w:t>
      </w:r>
      <w:r w:rsidRPr="008272BD">
        <w:rPr>
          <w:rFonts w:ascii="Arial" w:hAnsi="Arial" w:cs="Arial"/>
          <w:sz w:val="22"/>
          <w:szCs w:val="22"/>
        </w:rPr>
        <w:t xml:space="preserve">he </w:t>
      </w:r>
      <w:r w:rsidR="004C2847" w:rsidRPr="008272BD">
        <w:rPr>
          <w:rFonts w:ascii="Arial" w:hAnsi="Arial" w:cs="Arial"/>
          <w:sz w:val="22"/>
          <w:szCs w:val="22"/>
        </w:rPr>
        <w:t xml:space="preserve">Department of Health and Human Services’ </w:t>
      </w:r>
      <w:r>
        <w:rPr>
          <w:rFonts w:ascii="Arial" w:hAnsi="Arial" w:cs="Arial"/>
          <w:sz w:val="22"/>
          <w:szCs w:val="22"/>
        </w:rPr>
        <w:t xml:space="preserve">(HHS) </w:t>
      </w:r>
      <w:r w:rsidR="004C2847" w:rsidRPr="008272BD">
        <w:rPr>
          <w:rFonts w:ascii="Arial" w:hAnsi="Arial" w:cs="Arial"/>
          <w:sz w:val="22"/>
          <w:szCs w:val="22"/>
        </w:rPr>
        <w:t xml:space="preserve">Office of Inspector General (OIG) </w:t>
      </w:r>
      <w:r>
        <w:rPr>
          <w:rFonts w:ascii="Arial" w:hAnsi="Arial" w:cs="Arial"/>
          <w:sz w:val="22"/>
          <w:szCs w:val="22"/>
        </w:rPr>
        <w:t xml:space="preserve">had just </w:t>
      </w:r>
      <w:r w:rsidR="004C2847" w:rsidRPr="008272BD">
        <w:rPr>
          <w:rFonts w:ascii="Arial" w:hAnsi="Arial" w:cs="Arial"/>
          <w:sz w:val="22"/>
          <w:szCs w:val="22"/>
        </w:rPr>
        <w:t>released a report “</w:t>
      </w:r>
      <w:r w:rsidR="004C2847" w:rsidRPr="008272BD">
        <w:rPr>
          <w:rFonts w:ascii="Arial" w:hAnsi="Arial" w:cs="Arial"/>
          <w:i/>
          <w:sz w:val="22"/>
          <w:szCs w:val="22"/>
        </w:rPr>
        <w:t>Comparing Lab Test Payment Rates: Medicare Could Achieve Substantial Savings”</w:t>
      </w:r>
      <w:r w:rsidR="006227F4" w:rsidRPr="008272BD">
        <w:rPr>
          <w:rFonts w:ascii="Arial" w:hAnsi="Arial" w:cs="Arial"/>
          <w:sz w:val="22"/>
          <w:szCs w:val="22"/>
        </w:rPr>
        <w:t>.  The report, recommends</w:t>
      </w:r>
      <w:r w:rsidR="004C2847" w:rsidRPr="008272BD">
        <w:rPr>
          <w:rFonts w:ascii="Arial" w:hAnsi="Arial" w:cs="Arial"/>
          <w:sz w:val="22"/>
          <w:szCs w:val="22"/>
        </w:rPr>
        <w:t xml:space="preserve"> that the CMS seek legislation that would allow it to establish lower payment rates for lab tests and consider seeking legislation to institute competitive bidding, co-payments and/or deductibles for lab tests.  The analysis of 20 high volume laboratory tests showed an opportunity to lower reimbursement by $910 million per year (a 38% reduction).  </w:t>
      </w:r>
      <w:r w:rsidR="006227F4" w:rsidRPr="008272BD">
        <w:rPr>
          <w:rFonts w:ascii="Arial" w:hAnsi="Arial" w:cs="Arial"/>
          <w:sz w:val="22"/>
          <w:szCs w:val="22"/>
        </w:rPr>
        <w:t>T</w:t>
      </w:r>
      <w:r w:rsidR="004C2847" w:rsidRPr="008272BD">
        <w:rPr>
          <w:rFonts w:ascii="Arial" w:hAnsi="Arial" w:cs="Arial"/>
          <w:sz w:val="22"/>
          <w:szCs w:val="22"/>
        </w:rPr>
        <w:t>he</w:t>
      </w:r>
      <w:r w:rsidR="006227F4" w:rsidRPr="008272BD">
        <w:rPr>
          <w:rFonts w:ascii="Arial" w:hAnsi="Arial" w:cs="Arial"/>
          <w:sz w:val="22"/>
          <w:szCs w:val="22"/>
        </w:rPr>
        <w:t xml:space="preserve"> analysis is</w:t>
      </w:r>
      <w:r w:rsidR="004C2847" w:rsidRPr="008272BD">
        <w:rPr>
          <w:rFonts w:ascii="Arial" w:hAnsi="Arial" w:cs="Arial"/>
          <w:sz w:val="22"/>
          <w:szCs w:val="22"/>
        </w:rPr>
        <w:t xml:space="preserve"> one-sided </w:t>
      </w:r>
      <w:r w:rsidR="006227F4" w:rsidRPr="008272BD">
        <w:rPr>
          <w:rFonts w:ascii="Arial" w:hAnsi="Arial" w:cs="Arial"/>
          <w:sz w:val="22"/>
          <w:szCs w:val="22"/>
        </w:rPr>
        <w:t>and does</w:t>
      </w:r>
      <w:r w:rsidR="00867186" w:rsidRPr="008272BD">
        <w:rPr>
          <w:rFonts w:ascii="Arial" w:hAnsi="Arial" w:cs="Arial"/>
          <w:sz w:val="22"/>
          <w:szCs w:val="22"/>
        </w:rPr>
        <w:t xml:space="preserve"> not</w:t>
      </w:r>
      <w:r w:rsidR="004C2847" w:rsidRPr="008272BD">
        <w:rPr>
          <w:rFonts w:ascii="Arial" w:hAnsi="Arial" w:cs="Arial"/>
          <w:sz w:val="22"/>
          <w:szCs w:val="22"/>
        </w:rPr>
        <w:t xml:space="preserve"> reflect those tests which </w:t>
      </w:r>
      <w:r w:rsidR="006227F4" w:rsidRPr="008272BD">
        <w:rPr>
          <w:rFonts w:ascii="Arial" w:hAnsi="Arial" w:cs="Arial"/>
          <w:sz w:val="22"/>
          <w:szCs w:val="22"/>
        </w:rPr>
        <w:t xml:space="preserve">would </w:t>
      </w:r>
      <w:r w:rsidR="004C2847" w:rsidRPr="008272BD">
        <w:rPr>
          <w:rFonts w:ascii="Arial" w:hAnsi="Arial" w:cs="Arial"/>
          <w:sz w:val="22"/>
          <w:szCs w:val="22"/>
        </w:rPr>
        <w:t xml:space="preserve">result in higher reimbursement if the same analysis was made for all tests on the fee schedule.  CMS stated that it is exploring whether it has authority under current statute to revise payments for lab tests consistent with OIG’s recommendation and that a proposal to establish “deductibles and coinsurance” for lab tests is not included in the fiscal year 2014 President’s Budget.  </w:t>
      </w:r>
    </w:p>
    <w:p w:rsidR="004C2847" w:rsidRPr="008272BD" w:rsidRDefault="004C2847" w:rsidP="00990CED">
      <w:pPr>
        <w:pStyle w:val="Default"/>
        <w:pBdr>
          <w:bottom w:val="single" w:sz="12" w:space="16" w:color="auto"/>
        </w:pBdr>
        <w:rPr>
          <w:sz w:val="22"/>
          <w:szCs w:val="22"/>
        </w:rPr>
      </w:pPr>
      <w:r w:rsidRPr="008272BD">
        <w:rPr>
          <w:rFonts w:ascii="Arial" w:hAnsi="Arial" w:cs="Arial"/>
          <w:sz w:val="22"/>
          <w:szCs w:val="22"/>
        </w:rPr>
        <w:lastRenderedPageBreak/>
        <w:t xml:space="preserve">The link to the entire OIG report is at </w:t>
      </w:r>
      <w:hyperlink r:id="rId7" w:history="1">
        <w:r w:rsidRPr="008272BD">
          <w:rPr>
            <w:rStyle w:val="Hyperlink"/>
            <w:rFonts w:ascii="Arial" w:hAnsi="Arial" w:cs="Arial"/>
            <w:sz w:val="22"/>
            <w:szCs w:val="22"/>
          </w:rPr>
          <w:t>http://oig.hhs.gov/oei/reports/oei-07-11-00010.pdf</w:t>
        </w:r>
      </w:hyperlink>
    </w:p>
    <w:p w:rsidR="00E057DF" w:rsidRDefault="00E057DF" w:rsidP="00990CED">
      <w:pPr>
        <w:pStyle w:val="Default"/>
        <w:rPr>
          <w:rFonts w:ascii="Arial" w:hAnsi="Arial" w:cs="Arial"/>
          <w:sz w:val="22"/>
          <w:szCs w:val="22"/>
        </w:rPr>
      </w:pPr>
      <w:r w:rsidRPr="008272BD">
        <w:rPr>
          <w:rFonts w:ascii="Arial" w:hAnsi="Arial" w:cs="Arial"/>
          <w:sz w:val="22"/>
          <w:szCs w:val="22"/>
        </w:rPr>
        <w:t xml:space="preserve">The first set of potential issues relates to the Notice of Proposed Rulemaking from CMS on July </w:t>
      </w:r>
      <w:r w:rsidR="00990CED">
        <w:rPr>
          <w:rFonts w:ascii="Arial" w:hAnsi="Arial" w:cs="Arial"/>
          <w:sz w:val="22"/>
          <w:szCs w:val="22"/>
        </w:rPr>
        <w:t>1</w:t>
      </w:r>
      <w:r w:rsidRPr="008272BD">
        <w:rPr>
          <w:rFonts w:ascii="Arial" w:hAnsi="Arial" w:cs="Arial"/>
          <w:sz w:val="22"/>
          <w:szCs w:val="22"/>
        </w:rPr>
        <w:t xml:space="preserve">9, 2013.  The CMS proposal can be viewed at the following website: </w:t>
      </w:r>
      <w:hyperlink r:id="rId8" w:anchor="h-169" w:history="1">
        <w:r w:rsidRPr="008272BD">
          <w:rPr>
            <w:rStyle w:val="Hyperlink"/>
            <w:rFonts w:ascii="Arial" w:hAnsi="Arial" w:cs="Arial"/>
            <w:sz w:val="22"/>
            <w:szCs w:val="22"/>
          </w:rPr>
          <w:t>http://www.federalregister.gov/articles/2013/07/19/2013-16547/medicare-program-revisions-to-payment-policies-under-the-physician-fee-schedule-clinical-laboratory#h-169</w:t>
        </w:r>
      </w:hyperlink>
      <w:r w:rsidRPr="008272BD">
        <w:rPr>
          <w:rFonts w:ascii="Arial" w:hAnsi="Arial" w:cs="Arial"/>
          <w:sz w:val="22"/>
          <w:szCs w:val="22"/>
        </w:rPr>
        <w:t xml:space="preserve">  The proposed rule </w:t>
      </w:r>
      <w:r w:rsidRPr="008C35BA">
        <w:rPr>
          <w:rFonts w:ascii="Arial" w:hAnsi="Arial" w:cs="Arial"/>
          <w:sz w:val="22"/>
          <w:szCs w:val="22"/>
        </w:rPr>
        <w:t>contain three potential threats to current laboratory reimbursement</w:t>
      </w:r>
      <w:r w:rsidR="00867186" w:rsidRPr="008C35BA">
        <w:rPr>
          <w:rFonts w:ascii="Arial" w:hAnsi="Arial" w:cs="Arial"/>
          <w:sz w:val="22"/>
          <w:szCs w:val="22"/>
        </w:rPr>
        <w:t xml:space="preserve"> and are presented b</w:t>
      </w:r>
      <w:r w:rsidR="008C35BA">
        <w:rPr>
          <w:rFonts w:ascii="Arial" w:hAnsi="Arial" w:cs="Arial"/>
          <w:sz w:val="22"/>
          <w:szCs w:val="22"/>
        </w:rPr>
        <w:t>elow.</w:t>
      </w:r>
    </w:p>
    <w:p w:rsidR="008C35BA" w:rsidRPr="008C35BA" w:rsidRDefault="008C35BA" w:rsidP="008C35BA">
      <w:pPr>
        <w:pStyle w:val="Default"/>
        <w:rPr>
          <w:rFonts w:ascii="Arial" w:hAnsi="Arial" w:cs="Arial"/>
          <w:sz w:val="22"/>
          <w:szCs w:val="22"/>
        </w:rPr>
      </w:pPr>
    </w:p>
    <w:p w:rsidR="00E057DF" w:rsidRPr="008C35BA" w:rsidRDefault="00E057DF" w:rsidP="008C35BA">
      <w:pPr>
        <w:pStyle w:val="ListParagraph"/>
        <w:numPr>
          <w:ilvl w:val="0"/>
          <w:numId w:val="14"/>
        </w:numPr>
        <w:rPr>
          <w:rFonts w:ascii="Arial" w:hAnsi="Arial" w:cs="Arial"/>
          <w:b/>
        </w:rPr>
      </w:pPr>
      <w:r w:rsidRPr="004C2847">
        <w:rPr>
          <w:rFonts w:ascii="Arial" w:hAnsi="Arial" w:cs="Arial"/>
          <w:sz w:val="24"/>
          <w:szCs w:val="24"/>
        </w:rPr>
        <w:t xml:space="preserve"> </w:t>
      </w:r>
      <w:r w:rsidRPr="008C35BA">
        <w:rPr>
          <w:rFonts w:ascii="Arial" w:hAnsi="Arial" w:cs="Arial"/>
          <w:b/>
        </w:rPr>
        <w:t>Technology adjustments to the Clinical Laboratory Fee Schedule (CLFS)</w:t>
      </w:r>
    </w:p>
    <w:p w:rsidR="00D121A0" w:rsidRPr="008272BD" w:rsidRDefault="00D121A0" w:rsidP="00021391">
      <w:pPr>
        <w:pStyle w:val="ListParagraph"/>
        <w:spacing w:after="0" w:line="240" w:lineRule="auto"/>
        <w:rPr>
          <w:rFonts w:ascii="Arial" w:hAnsi="Arial" w:cs="Arial"/>
        </w:rPr>
      </w:pPr>
      <w:r w:rsidRPr="008272BD">
        <w:rPr>
          <w:rFonts w:ascii="Arial" w:hAnsi="Arial" w:cs="Arial"/>
        </w:rPr>
        <w:t>CMS is proposing a process under its existing authorities in 1833(h)(2)(A)(</w:t>
      </w:r>
      <w:proofErr w:type="spellStart"/>
      <w:r w:rsidRPr="008272BD">
        <w:rPr>
          <w:rFonts w:ascii="Arial" w:hAnsi="Arial" w:cs="Arial"/>
        </w:rPr>
        <w:t>i</w:t>
      </w:r>
      <w:proofErr w:type="spellEnd"/>
      <w:r w:rsidRPr="008272BD">
        <w:rPr>
          <w:rFonts w:ascii="Arial" w:hAnsi="Arial" w:cs="Arial"/>
        </w:rPr>
        <w:t xml:space="preserve">) that would allow for the systematic examination of payment amounts.  This examination would seek to identify those codes that had undergone “technological changes” affecting the price of the test.  CMS cites the increased use of point of care testing, genetic and genomic testing, and laboratory developed tests as rationale for developing this process. Under its proposal CMS would review all CLFS codes over a five-year period, beginning with the oldest codes, reviewing a portion of the total codes each year and making appropriate adjustments.  After the initial review of the codes, CMS will allow the public to nominate codes for review; however, these codes must have been on the CLFS for at least five years.  Public nominations must include sufficient rationale describing the technological changes and how those changes affect payment and delivery.  Here again, the concern is that the proposed methodology could result in cherry-picking to address only tests for which significant reduction in reimbursement is deemed possible.  </w:t>
      </w:r>
      <w:r w:rsidR="006227F4" w:rsidRPr="008272BD">
        <w:rPr>
          <w:rFonts w:ascii="Arial" w:hAnsi="Arial" w:cs="Arial"/>
        </w:rPr>
        <w:t>The t</w:t>
      </w:r>
      <w:r w:rsidRPr="008272BD">
        <w:rPr>
          <w:rFonts w:ascii="Arial" w:hAnsi="Arial" w:cs="Arial"/>
        </w:rPr>
        <w:t xml:space="preserve">ests </w:t>
      </w:r>
      <w:r w:rsidR="006227F4" w:rsidRPr="008272BD">
        <w:rPr>
          <w:rFonts w:ascii="Arial" w:hAnsi="Arial" w:cs="Arial"/>
        </w:rPr>
        <w:t>that have been</w:t>
      </w:r>
      <w:r w:rsidRPr="008272BD">
        <w:rPr>
          <w:rFonts w:ascii="Arial" w:hAnsi="Arial" w:cs="Arial"/>
        </w:rPr>
        <w:t xml:space="preserve"> on the fee schedule the longest</w:t>
      </w:r>
      <w:r w:rsidR="006227F4" w:rsidRPr="008272BD">
        <w:rPr>
          <w:rFonts w:ascii="Arial" w:hAnsi="Arial" w:cs="Arial"/>
        </w:rPr>
        <w:t xml:space="preserve"> </w:t>
      </w:r>
      <w:r w:rsidR="00021391" w:rsidRPr="008272BD">
        <w:rPr>
          <w:rFonts w:ascii="Arial" w:hAnsi="Arial" w:cs="Arial"/>
        </w:rPr>
        <w:t>include many</w:t>
      </w:r>
      <w:r w:rsidRPr="008272BD">
        <w:rPr>
          <w:rFonts w:ascii="Arial" w:hAnsi="Arial" w:cs="Arial"/>
        </w:rPr>
        <w:t xml:space="preserve"> of the automated tests that due to technology and automation </w:t>
      </w:r>
      <w:r w:rsidR="006227F4" w:rsidRPr="008272BD">
        <w:rPr>
          <w:rFonts w:ascii="Arial" w:hAnsi="Arial" w:cs="Arial"/>
        </w:rPr>
        <w:t>are likely to</w:t>
      </w:r>
      <w:r w:rsidRPr="008272BD">
        <w:rPr>
          <w:rFonts w:ascii="Arial" w:hAnsi="Arial" w:cs="Arial"/>
        </w:rPr>
        <w:t xml:space="preserve"> be reduced</w:t>
      </w:r>
      <w:r w:rsidR="006227F4" w:rsidRPr="008272BD">
        <w:rPr>
          <w:rFonts w:ascii="Arial" w:hAnsi="Arial" w:cs="Arial"/>
        </w:rPr>
        <w:t xml:space="preserve"> when evaluated</w:t>
      </w:r>
      <w:r w:rsidRPr="008272BD">
        <w:rPr>
          <w:rFonts w:ascii="Arial" w:hAnsi="Arial" w:cs="Arial"/>
        </w:rPr>
        <w:t xml:space="preserve">.  </w:t>
      </w:r>
      <w:r w:rsidR="006227F4" w:rsidRPr="008272BD">
        <w:rPr>
          <w:rFonts w:ascii="Arial" w:hAnsi="Arial" w:cs="Arial"/>
        </w:rPr>
        <w:t>Many</w:t>
      </w:r>
      <w:r w:rsidRPr="008272BD">
        <w:rPr>
          <w:rFonts w:ascii="Arial" w:hAnsi="Arial" w:cs="Arial"/>
        </w:rPr>
        <w:t xml:space="preserve"> tests </w:t>
      </w:r>
      <w:r w:rsidR="00990CED">
        <w:rPr>
          <w:rFonts w:ascii="Arial" w:hAnsi="Arial" w:cs="Arial"/>
        </w:rPr>
        <w:t xml:space="preserve">that we believe should require an </w:t>
      </w:r>
      <w:r w:rsidRPr="008272BD">
        <w:rPr>
          <w:rFonts w:ascii="Arial" w:hAnsi="Arial" w:cs="Arial"/>
        </w:rPr>
        <w:t>upward adjustment</w:t>
      </w:r>
      <w:r w:rsidR="006227F4" w:rsidRPr="008272BD">
        <w:rPr>
          <w:rFonts w:ascii="Arial" w:hAnsi="Arial" w:cs="Arial"/>
        </w:rPr>
        <w:t xml:space="preserve"> are newer to the CLFS and thus</w:t>
      </w:r>
      <w:r w:rsidRPr="008272BD">
        <w:rPr>
          <w:rFonts w:ascii="Arial" w:hAnsi="Arial" w:cs="Arial"/>
        </w:rPr>
        <w:t xml:space="preserve"> may be delayed or never addressed.</w:t>
      </w:r>
    </w:p>
    <w:p w:rsidR="00D121A0" w:rsidRPr="008C35BA" w:rsidRDefault="00E057DF" w:rsidP="00D121A0">
      <w:pPr>
        <w:pStyle w:val="ListParagraph"/>
        <w:numPr>
          <w:ilvl w:val="0"/>
          <w:numId w:val="14"/>
        </w:numPr>
        <w:rPr>
          <w:rFonts w:ascii="Arial" w:hAnsi="Arial" w:cs="Arial"/>
          <w:b/>
        </w:rPr>
      </w:pPr>
      <w:r w:rsidRPr="008C35BA">
        <w:rPr>
          <w:rFonts w:ascii="Arial" w:hAnsi="Arial" w:cs="Arial"/>
          <w:b/>
        </w:rPr>
        <w:t>Bundling of hospital outpatient laboratory testing into overall outpatient reimbursement</w:t>
      </w:r>
      <w:r w:rsidR="00D121A0" w:rsidRPr="008C35BA">
        <w:rPr>
          <w:rFonts w:ascii="Arial" w:hAnsi="Arial" w:cs="Arial"/>
          <w:b/>
        </w:rPr>
        <w:t>.</w:t>
      </w:r>
    </w:p>
    <w:p w:rsidR="00291584" w:rsidRPr="008272BD" w:rsidRDefault="00291584" w:rsidP="00021391">
      <w:pPr>
        <w:pStyle w:val="ListParagraph"/>
        <w:spacing w:line="240" w:lineRule="auto"/>
        <w:rPr>
          <w:rFonts w:ascii="Arial" w:hAnsi="Arial" w:cs="Arial"/>
        </w:rPr>
      </w:pPr>
      <w:r w:rsidRPr="008272BD">
        <w:rPr>
          <w:rFonts w:ascii="Arial" w:hAnsi="Arial" w:cs="Arial"/>
        </w:rPr>
        <w:t xml:space="preserve">In addition to its proposal to </w:t>
      </w:r>
      <w:r w:rsidR="00990CED">
        <w:rPr>
          <w:rFonts w:ascii="Arial" w:hAnsi="Arial" w:cs="Arial"/>
        </w:rPr>
        <w:t>overhaul</w:t>
      </w:r>
      <w:r w:rsidR="00990CED" w:rsidRPr="008272BD">
        <w:rPr>
          <w:rFonts w:ascii="Arial" w:hAnsi="Arial" w:cs="Arial"/>
        </w:rPr>
        <w:t xml:space="preserve"> </w:t>
      </w:r>
      <w:r w:rsidRPr="008272BD">
        <w:rPr>
          <w:rFonts w:ascii="Arial" w:hAnsi="Arial" w:cs="Arial"/>
        </w:rPr>
        <w:t>the rate-setting process under the CLFS, CMS proposed in the CY2014 Hospital Outpatient Prospective Payment System (OPPS) Notice of Proposed Rulemaking to bundle clinical laboratory payments into the OPPS payments.  This would have a significant impact on hospital laboratory revenue as all tests, with the exception of molecular testing and those tests ordered as “lab only” visits would no longer be billed and reimbursed separately.  They would be bundled into the overall outpatient procedure/visit.  Concern is also that it is unlikely that the reimbursement for the bundled payment will be adjusted upward to compensate for this change.</w:t>
      </w:r>
    </w:p>
    <w:p w:rsidR="00D121A0" w:rsidRPr="008272BD" w:rsidRDefault="00E057DF" w:rsidP="00021391">
      <w:pPr>
        <w:pStyle w:val="ListParagraph"/>
        <w:numPr>
          <w:ilvl w:val="0"/>
          <w:numId w:val="14"/>
        </w:numPr>
        <w:spacing w:line="240" w:lineRule="auto"/>
        <w:rPr>
          <w:rFonts w:ascii="Arial" w:hAnsi="Arial" w:cs="Arial"/>
          <w:b/>
        </w:rPr>
      </w:pPr>
      <w:r w:rsidRPr="008C35BA">
        <w:rPr>
          <w:rFonts w:ascii="Arial" w:hAnsi="Arial" w:cs="Arial"/>
          <w:b/>
        </w:rPr>
        <w:t>Significant reduction in the technical component of anatomic pathology testing on the physician fee schedule</w:t>
      </w:r>
      <w:r w:rsidR="00D121A0" w:rsidRPr="008C35BA">
        <w:rPr>
          <w:rFonts w:ascii="Arial" w:hAnsi="Arial" w:cs="Arial"/>
          <w:b/>
        </w:rPr>
        <w:t>.</w:t>
      </w:r>
      <w:r w:rsidR="00D121A0" w:rsidRPr="00291584">
        <w:rPr>
          <w:rFonts w:ascii="Arial" w:hAnsi="Arial" w:cs="Arial"/>
          <w:sz w:val="24"/>
          <w:szCs w:val="24"/>
        </w:rPr>
        <w:t xml:space="preserve">  </w:t>
      </w:r>
      <w:r w:rsidR="00291584" w:rsidRPr="008272BD">
        <w:rPr>
          <w:rFonts w:ascii="Arial" w:hAnsi="Arial" w:cs="Arial"/>
        </w:rPr>
        <w:t xml:space="preserve">Another component to the proposed rule is an update to payment policies and payment rates for services furnished under the Medicare Physician Fee Schedule (PFS). </w:t>
      </w:r>
      <w:r w:rsidR="00BF7634" w:rsidRPr="008272BD">
        <w:rPr>
          <w:rFonts w:ascii="Arial" w:hAnsi="Arial" w:cs="Arial"/>
        </w:rPr>
        <w:t xml:space="preserve">Effective January 1, 2014 CMS proposes reductions in the technical component (TC) of 40 pathology codes it described as </w:t>
      </w:r>
      <w:proofErr w:type="spellStart"/>
      <w:r w:rsidR="00BF7634" w:rsidRPr="008272BD">
        <w:rPr>
          <w:rFonts w:ascii="Arial" w:hAnsi="Arial" w:cs="Arial"/>
        </w:rPr>
        <w:t>misvalued</w:t>
      </w:r>
      <w:proofErr w:type="spellEnd"/>
      <w:r w:rsidR="002C1521" w:rsidRPr="008272BD">
        <w:rPr>
          <w:rFonts w:ascii="Arial" w:hAnsi="Arial" w:cs="Arial"/>
        </w:rPr>
        <w:t xml:space="preserve"> so they are reimbursed at the same rate as currently used for hospital outpatients</w:t>
      </w:r>
      <w:r w:rsidR="00BF7634" w:rsidRPr="008272BD">
        <w:rPr>
          <w:rFonts w:ascii="Arial" w:hAnsi="Arial" w:cs="Arial"/>
        </w:rPr>
        <w:t xml:space="preserve">. </w:t>
      </w:r>
      <w:r w:rsidR="00291584" w:rsidRPr="008272BD">
        <w:rPr>
          <w:rFonts w:ascii="Arial" w:hAnsi="Arial" w:cs="Arial"/>
        </w:rPr>
        <w:t>These reductions would be significant, as much as 80%.  For physicians, the cuts included in the proposed 2014 PFS rule primarily impact technical component payment and global payment for pathology services performed on non-hospital patients.  Professional components, with one exception are basically not impacted or have a small 1-2% adjustment.</w:t>
      </w:r>
    </w:p>
    <w:p w:rsidR="008C35BA" w:rsidRDefault="00D121A0" w:rsidP="00021391">
      <w:pPr>
        <w:spacing w:after="0" w:line="240" w:lineRule="auto"/>
        <w:ind w:left="360"/>
        <w:rPr>
          <w:rFonts w:ascii="Arial" w:hAnsi="Arial" w:cs="Arial"/>
          <w:sz w:val="28"/>
          <w:szCs w:val="28"/>
        </w:rPr>
      </w:pPr>
      <w:r w:rsidRPr="008272BD">
        <w:rPr>
          <w:rFonts w:ascii="Arial" w:hAnsi="Arial" w:cs="Arial"/>
        </w:rPr>
        <w:t>GAC is discussing all of these issues</w:t>
      </w:r>
      <w:r w:rsidR="00291584" w:rsidRPr="008272BD">
        <w:rPr>
          <w:rFonts w:ascii="Arial" w:hAnsi="Arial" w:cs="Arial"/>
        </w:rPr>
        <w:t xml:space="preserve"> and ASCLS will be providing written comments before the September 6 deadline</w:t>
      </w:r>
      <w:r w:rsidRPr="008272BD">
        <w:rPr>
          <w:rFonts w:ascii="Arial" w:hAnsi="Arial" w:cs="Arial"/>
        </w:rPr>
        <w:t xml:space="preserve">.  </w:t>
      </w:r>
      <w:r w:rsidR="00021391">
        <w:rPr>
          <w:rFonts w:ascii="Arial" w:hAnsi="Arial" w:cs="Arial"/>
        </w:rPr>
        <w:t xml:space="preserve">We also send you comments that you can submit to CMS.  </w:t>
      </w:r>
      <w:r w:rsidRPr="008272BD">
        <w:rPr>
          <w:rFonts w:ascii="Arial" w:hAnsi="Arial" w:cs="Arial"/>
        </w:rPr>
        <w:t xml:space="preserve">In addition, Elissa Passiment, Don Lavanty and Patrick Cooney plan to meet with CMS to share our concerns and offer alternatives.  Patrick and Don will also be in contact with </w:t>
      </w:r>
      <w:r w:rsidR="00990CED">
        <w:rPr>
          <w:rFonts w:ascii="Arial" w:hAnsi="Arial" w:cs="Arial"/>
        </w:rPr>
        <w:t xml:space="preserve">Congressional </w:t>
      </w:r>
      <w:r w:rsidRPr="008272BD">
        <w:rPr>
          <w:rFonts w:ascii="Arial" w:hAnsi="Arial" w:cs="Arial"/>
        </w:rPr>
        <w:t xml:space="preserve">legislators to </w:t>
      </w:r>
      <w:r w:rsidR="00990CED">
        <w:rPr>
          <w:rFonts w:ascii="Arial" w:hAnsi="Arial" w:cs="Arial"/>
        </w:rPr>
        <w:t>determine the reactions and thinking of Congress about these developments.</w:t>
      </w:r>
    </w:p>
    <w:p w:rsidR="00DE5B3A" w:rsidRPr="00D121A0" w:rsidRDefault="00DE5B3A" w:rsidP="008C35BA">
      <w:pPr>
        <w:ind w:left="360"/>
        <w:rPr>
          <w:rFonts w:ascii="Arial" w:hAnsi="Arial" w:cs="Arial"/>
          <w:sz w:val="24"/>
          <w:szCs w:val="24"/>
        </w:rPr>
      </w:pPr>
      <w:r>
        <w:rPr>
          <w:rFonts w:ascii="Arial" w:hAnsi="Arial" w:cs="Arial"/>
          <w:sz w:val="28"/>
          <w:szCs w:val="28"/>
        </w:rPr>
        <w:lastRenderedPageBreak/>
        <w:t>__________________________________________________________</w:t>
      </w:r>
    </w:p>
    <w:p w:rsidR="00F355D7" w:rsidRDefault="007222CD" w:rsidP="00F355D7">
      <w:pPr>
        <w:spacing w:after="0" w:line="240" w:lineRule="auto"/>
        <w:rPr>
          <w:rFonts w:ascii="Arial" w:hAnsi="Arial" w:cs="Arial"/>
          <w:b/>
          <w:sz w:val="28"/>
          <w:szCs w:val="28"/>
        </w:rPr>
      </w:pPr>
      <w:r>
        <w:rPr>
          <w:rFonts w:ascii="Arial" w:hAnsi="Arial" w:cs="Arial"/>
          <w:b/>
          <w:sz w:val="28"/>
          <w:szCs w:val="28"/>
        </w:rPr>
        <w:t xml:space="preserve">Fixing the Sustainable Growth Rate (SGR) – </w:t>
      </w:r>
    </w:p>
    <w:p w:rsidR="007222CD" w:rsidRPr="008272BD" w:rsidRDefault="007222CD" w:rsidP="007222CD">
      <w:pPr>
        <w:widowControl w:val="0"/>
        <w:autoSpaceDE w:val="0"/>
        <w:autoSpaceDN w:val="0"/>
        <w:adjustRightInd w:val="0"/>
        <w:spacing w:after="0" w:line="240" w:lineRule="auto"/>
        <w:rPr>
          <w:rFonts w:ascii="Arial" w:hAnsi="Arial" w:cs="Arial"/>
          <w:sz w:val="20"/>
          <w:szCs w:val="20"/>
        </w:rPr>
      </w:pPr>
    </w:p>
    <w:p w:rsidR="00F60FA2" w:rsidRPr="008272BD" w:rsidRDefault="00E057DF" w:rsidP="007222CD">
      <w:pPr>
        <w:widowControl w:val="0"/>
        <w:autoSpaceDE w:val="0"/>
        <w:autoSpaceDN w:val="0"/>
        <w:adjustRightInd w:val="0"/>
        <w:spacing w:after="0" w:line="240" w:lineRule="auto"/>
        <w:rPr>
          <w:rFonts w:ascii="Arial" w:hAnsi="Arial" w:cs="Arial"/>
          <w:u w:color="1B3C84"/>
        </w:rPr>
      </w:pPr>
      <w:r w:rsidRPr="008272BD">
        <w:rPr>
          <w:rFonts w:ascii="Arial" w:hAnsi="Arial" w:cs="Arial"/>
        </w:rPr>
        <w:t xml:space="preserve">In addition to the above, </w:t>
      </w:r>
      <w:r w:rsidR="00E10331">
        <w:rPr>
          <w:rFonts w:ascii="Arial" w:hAnsi="Arial" w:cs="Arial"/>
        </w:rPr>
        <w:t>fixing the SGR</w:t>
      </w:r>
      <w:r w:rsidRPr="008272BD">
        <w:rPr>
          <w:rFonts w:ascii="Arial" w:hAnsi="Arial" w:cs="Arial"/>
        </w:rPr>
        <w:t xml:space="preserve"> </w:t>
      </w:r>
      <w:r w:rsidR="002C1521" w:rsidRPr="008272BD">
        <w:rPr>
          <w:rFonts w:ascii="Arial" w:hAnsi="Arial" w:cs="Arial"/>
        </w:rPr>
        <w:t>also</w:t>
      </w:r>
      <w:r w:rsidRPr="008272BD">
        <w:rPr>
          <w:rFonts w:ascii="Arial" w:hAnsi="Arial" w:cs="Arial"/>
        </w:rPr>
        <w:t xml:space="preserve"> has the potential to reduce clinical laboratory reimbursement from Medicare.  On July 30, 2013, the </w:t>
      </w:r>
      <w:r w:rsidR="007222CD" w:rsidRPr="008272BD">
        <w:rPr>
          <w:rFonts w:ascii="Arial" w:hAnsi="Arial" w:cs="Arial"/>
        </w:rPr>
        <w:t xml:space="preserve">House Energy and Commerce </w:t>
      </w:r>
      <w:r w:rsidRPr="008272BD">
        <w:rPr>
          <w:rFonts w:ascii="Arial" w:hAnsi="Arial" w:cs="Arial"/>
        </w:rPr>
        <w:t>committee</w:t>
      </w:r>
      <w:r w:rsidR="007222CD" w:rsidRPr="008272BD">
        <w:rPr>
          <w:rFonts w:ascii="Arial" w:hAnsi="Arial" w:cs="Arial"/>
        </w:rPr>
        <w:t xml:space="preserve"> </w:t>
      </w:r>
      <w:r w:rsidRPr="008272BD">
        <w:rPr>
          <w:rFonts w:ascii="Arial" w:hAnsi="Arial" w:cs="Arial"/>
        </w:rPr>
        <w:t>pas</w:t>
      </w:r>
      <w:r w:rsidR="002C1521" w:rsidRPr="008272BD">
        <w:rPr>
          <w:rFonts w:ascii="Arial" w:hAnsi="Arial" w:cs="Arial"/>
        </w:rPr>
        <w:t>sed a bill that would provide</w:t>
      </w:r>
      <w:r w:rsidRPr="008272BD">
        <w:rPr>
          <w:rFonts w:ascii="Arial" w:hAnsi="Arial" w:cs="Arial"/>
        </w:rPr>
        <w:t xml:space="preserve"> a permanent fix to the physician payment methodology, </w:t>
      </w:r>
      <w:r w:rsidR="00867186" w:rsidRPr="008272BD">
        <w:rPr>
          <w:rFonts w:ascii="Arial" w:hAnsi="Arial" w:cs="Arial"/>
        </w:rPr>
        <w:t xml:space="preserve">known as the </w:t>
      </w:r>
      <w:r w:rsidRPr="008272BD">
        <w:rPr>
          <w:rFonts w:ascii="Arial" w:hAnsi="Arial" w:cs="Arial"/>
        </w:rPr>
        <w:t xml:space="preserve">Sustainable Growth Rate (SGR). </w:t>
      </w:r>
      <w:r w:rsidR="002C1521" w:rsidRPr="008272BD">
        <w:rPr>
          <w:rFonts w:ascii="Arial" w:hAnsi="Arial" w:cs="Arial"/>
        </w:rPr>
        <w:t xml:space="preserve">The SGR is the formula CMS uses to determine reimbursement rates for </w:t>
      </w:r>
      <w:r w:rsidR="00E10331">
        <w:rPr>
          <w:rFonts w:ascii="Arial" w:hAnsi="Arial" w:cs="Arial"/>
        </w:rPr>
        <w:t>physicians accepting</w:t>
      </w:r>
      <w:r w:rsidR="002C1521" w:rsidRPr="008272BD">
        <w:rPr>
          <w:rFonts w:ascii="Arial" w:hAnsi="Arial" w:cs="Arial"/>
        </w:rPr>
        <w:t xml:space="preserve"> Medicare </w:t>
      </w:r>
      <w:r w:rsidR="00E10331">
        <w:rPr>
          <w:rFonts w:ascii="Arial" w:hAnsi="Arial" w:cs="Arial"/>
        </w:rPr>
        <w:t>patients</w:t>
      </w:r>
      <w:r w:rsidR="002C1521" w:rsidRPr="008272BD">
        <w:rPr>
          <w:rFonts w:ascii="Arial" w:hAnsi="Arial" w:cs="Arial"/>
        </w:rPr>
        <w:t xml:space="preserve">. </w:t>
      </w:r>
      <w:r w:rsidR="007222CD" w:rsidRPr="008272BD">
        <w:rPr>
          <w:rFonts w:ascii="Arial" w:hAnsi="Arial" w:cs="Arial"/>
          <w:u w:color="1B3C84"/>
        </w:rPr>
        <w:t>The committee</w:t>
      </w:r>
      <w:r w:rsidR="00F60FA2" w:rsidRPr="008272BD">
        <w:rPr>
          <w:rFonts w:ascii="Arial" w:hAnsi="Arial" w:cs="Arial"/>
          <w:u w:color="1B3C84"/>
        </w:rPr>
        <w:t xml:space="preserve">’s bill would </w:t>
      </w:r>
      <w:r w:rsidRPr="008272BD">
        <w:rPr>
          <w:rFonts w:ascii="Arial" w:hAnsi="Arial" w:cs="Arial"/>
          <w:u w:color="1B3C84"/>
        </w:rPr>
        <w:t xml:space="preserve">make changes in </w:t>
      </w:r>
      <w:r w:rsidR="007222CD" w:rsidRPr="008272BD">
        <w:rPr>
          <w:rFonts w:ascii="Arial" w:hAnsi="Arial" w:cs="Arial"/>
          <w:u w:color="1B3C84"/>
        </w:rPr>
        <w:t xml:space="preserve">three phases: </w:t>
      </w:r>
    </w:p>
    <w:p w:rsidR="00F60FA2" w:rsidRPr="008272BD" w:rsidRDefault="007222CD" w:rsidP="00F60FA2">
      <w:pPr>
        <w:pStyle w:val="ListParagraph"/>
        <w:widowControl w:val="0"/>
        <w:numPr>
          <w:ilvl w:val="0"/>
          <w:numId w:val="13"/>
        </w:numPr>
        <w:autoSpaceDE w:val="0"/>
        <w:autoSpaceDN w:val="0"/>
        <w:adjustRightInd w:val="0"/>
        <w:spacing w:after="0" w:line="240" w:lineRule="auto"/>
        <w:rPr>
          <w:rFonts w:ascii="Arial" w:hAnsi="Arial" w:cs="Arial"/>
          <w:u w:color="1B3C84"/>
        </w:rPr>
      </w:pPr>
      <w:r w:rsidRPr="008272BD">
        <w:rPr>
          <w:rFonts w:ascii="Arial" w:hAnsi="Arial" w:cs="Arial"/>
          <w:u w:color="1B3C84"/>
        </w:rPr>
        <w:t>a period of payment stability and development of an im</w:t>
      </w:r>
      <w:r w:rsidR="00F60FA2" w:rsidRPr="008272BD">
        <w:rPr>
          <w:rFonts w:ascii="Arial" w:hAnsi="Arial" w:cs="Arial"/>
          <w:u w:color="1B3C84"/>
        </w:rPr>
        <w:t>proved fee-for-service program</w:t>
      </w:r>
    </w:p>
    <w:p w:rsidR="00F60FA2" w:rsidRPr="008272BD" w:rsidRDefault="00F60FA2" w:rsidP="00F60FA2">
      <w:pPr>
        <w:pStyle w:val="ListParagraph"/>
        <w:widowControl w:val="0"/>
        <w:numPr>
          <w:ilvl w:val="0"/>
          <w:numId w:val="13"/>
        </w:numPr>
        <w:autoSpaceDE w:val="0"/>
        <w:autoSpaceDN w:val="0"/>
        <w:adjustRightInd w:val="0"/>
        <w:spacing w:after="0" w:line="240" w:lineRule="auto"/>
        <w:rPr>
          <w:rFonts w:ascii="Arial" w:hAnsi="Arial" w:cs="Arial"/>
          <w:u w:color="1B3C84"/>
        </w:rPr>
      </w:pPr>
      <w:r w:rsidRPr="008272BD">
        <w:rPr>
          <w:rFonts w:ascii="Arial" w:hAnsi="Arial" w:cs="Arial"/>
          <w:u w:color="1B3C84"/>
        </w:rPr>
        <w:t>applying quality measurement to payments</w:t>
      </w:r>
    </w:p>
    <w:p w:rsidR="007222CD" w:rsidRPr="008272BD" w:rsidRDefault="00F60FA2" w:rsidP="007222CD">
      <w:pPr>
        <w:pStyle w:val="ListParagraph"/>
        <w:widowControl w:val="0"/>
        <w:numPr>
          <w:ilvl w:val="0"/>
          <w:numId w:val="13"/>
        </w:numPr>
        <w:autoSpaceDE w:val="0"/>
        <w:autoSpaceDN w:val="0"/>
        <w:adjustRightInd w:val="0"/>
        <w:spacing w:after="0" w:line="240" w:lineRule="auto"/>
        <w:rPr>
          <w:rFonts w:ascii="Arial" w:hAnsi="Arial" w:cs="Arial"/>
          <w:u w:color="1B3C84"/>
        </w:rPr>
      </w:pPr>
      <w:r w:rsidRPr="008272BD">
        <w:rPr>
          <w:rFonts w:ascii="Arial" w:hAnsi="Arial" w:cs="Arial"/>
          <w:u w:color="1B3C84"/>
        </w:rPr>
        <w:t xml:space="preserve">an “opt-out” provision to allow providers </w:t>
      </w:r>
      <w:r w:rsidR="007222CD" w:rsidRPr="008272BD">
        <w:rPr>
          <w:rFonts w:ascii="Arial" w:hAnsi="Arial" w:cs="Arial"/>
          <w:u w:color="1B3C84"/>
        </w:rPr>
        <w:t>to move to an alternative payment model, such as an accountable care organization or a patient-centered medical home.</w:t>
      </w:r>
    </w:p>
    <w:p w:rsidR="00F60FA2" w:rsidRPr="008272BD" w:rsidRDefault="00F60FA2" w:rsidP="00F60FA2">
      <w:pPr>
        <w:pStyle w:val="ListParagraph"/>
        <w:widowControl w:val="0"/>
        <w:autoSpaceDE w:val="0"/>
        <w:autoSpaceDN w:val="0"/>
        <w:adjustRightInd w:val="0"/>
        <w:spacing w:after="0" w:line="240" w:lineRule="auto"/>
        <w:rPr>
          <w:rFonts w:ascii="Arial" w:hAnsi="Arial" w:cs="Arial"/>
          <w:u w:color="1B3C84"/>
        </w:rPr>
      </w:pPr>
    </w:p>
    <w:p w:rsidR="007222CD" w:rsidRPr="008272BD" w:rsidRDefault="00F60FA2" w:rsidP="007222CD">
      <w:pPr>
        <w:widowControl w:val="0"/>
        <w:autoSpaceDE w:val="0"/>
        <w:autoSpaceDN w:val="0"/>
        <w:adjustRightInd w:val="0"/>
        <w:spacing w:after="0" w:line="240" w:lineRule="auto"/>
        <w:rPr>
          <w:rFonts w:ascii="Arial" w:hAnsi="Arial" w:cs="Arial"/>
          <w:u w:color="1B3C84"/>
        </w:rPr>
      </w:pPr>
      <w:r w:rsidRPr="008272BD">
        <w:rPr>
          <w:rFonts w:ascii="Arial" w:hAnsi="Arial" w:cs="Arial"/>
          <w:u w:color="1B3C84"/>
        </w:rPr>
        <w:t>The period of stability would call for some small increase in payments</w:t>
      </w:r>
      <w:r w:rsidR="00E057DF" w:rsidRPr="008272BD">
        <w:rPr>
          <w:rFonts w:ascii="Arial" w:hAnsi="Arial" w:cs="Arial"/>
          <w:u w:color="1B3C84"/>
        </w:rPr>
        <w:t xml:space="preserve"> (likely 1%)</w:t>
      </w:r>
      <w:r w:rsidRPr="008272BD">
        <w:rPr>
          <w:rFonts w:ascii="Arial" w:hAnsi="Arial" w:cs="Arial"/>
          <w:u w:color="1B3C84"/>
        </w:rPr>
        <w:t xml:space="preserve"> during the first few years, with a possible differential for primary care physicians.  What has not yet been defined is how the fix would be paid for and that is a concern for the clinical laboratory</w:t>
      </w:r>
      <w:r w:rsidR="00E10331">
        <w:rPr>
          <w:rFonts w:ascii="Arial" w:hAnsi="Arial" w:cs="Arial"/>
          <w:u w:color="1B3C84"/>
        </w:rPr>
        <w:t xml:space="preserve"> because recent history tells us that Congress keeps cutting us to pay for such fixes</w:t>
      </w:r>
      <w:r w:rsidR="00E10331" w:rsidRPr="00C33184">
        <w:rPr>
          <w:rFonts w:ascii="Arial" w:hAnsi="Arial" w:cs="Arial"/>
          <w:u w:color="1B3C84"/>
        </w:rPr>
        <w:t>.</w:t>
      </w:r>
      <w:r w:rsidRPr="008272BD">
        <w:rPr>
          <w:rFonts w:ascii="Arial" w:hAnsi="Arial" w:cs="Arial"/>
          <w:u w:color="1B3C84"/>
        </w:rPr>
        <w:t>.  T</w:t>
      </w:r>
      <w:r w:rsidR="007222CD" w:rsidRPr="008272BD">
        <w:rPr>
          <w:rFonts w:ascii="Arial" w:hAnsi="Arial" w:cs="Arial"/>
          <w:u w:color="1B3C84"/>
        </w:rPr>
        <w:t>he Congressional Budget Office now estimates</w:t>
      </w:r>
      <w:r w:rsidRPr="008272BD">
        <w:rPr>
          <w:rFonts w:ascii="Arial" w:hAnsi="Arial" w:cs="Arial"/>
          <w:u w:color="1B3C84"/>
        </w:rPr>
        <w:t xml:space="preserve"> a fix</w:t>
      </w:r>
      <w:r w:rsidR="007222CD" w:rsidRPr="008272BD">
        <w:rPr>
          <w:rFonts w:ascii="Arial" w:hAnsi="Arial" w:cs="Arial"/>
          <w:u w:color="1B3C84"/>
        </w:rPr>
        <w:t xml:space="preserve"> will cost about $13</w:t>
      </w:r>
      <w:r w:rsidRPr="008272BD">
        <w:rPr>
          <w:rFonts w:ascii="Arial" w:hAnsi="Arial" w:cs="Arial"/>
          <w:u w:color="1B3C84"/>
        </w:rPr>
        <w:t xml:space="preserve">9 billion over the next decade. </w:t>
      </w:r>
      <w:r w:rsidR="00E057DF" w:rsidRPr="008272BD">
        <w:rPr>
          <w:rFonts w:ascii="Arial" w:hAnsi="Arial" w:cs="Arial"/>
          <w:u w:color="1B3C84"/>
        </w:rPr>
        <w:t>Since Congress is now on its 5-week break, the next steps in the process will occur in September when our legislators return to Washington DC.</w:t>
      </w:r>
    </w:p>
    <w:p w:rsidR="007222CD" w:rsidRPr="008272BD" w:rsidRDefault="007222CD" w:rsidP="007222CD">
      <w:pPr>
        <w:widowControl w:val="0"/>
        <w:autoSpaceDE w:val="0"/>
        <w:autoSpaceDN w:val="0"/>
        <w:adjustRightInd w:val="0"/>
        <w:spacing w:after="0" w:line="240" w:lineRule="auto"/>
        <w:rPr>
          <w:rFonts w:ascii="Arial" w:hAnsi="Arial" w:cs="Arial"/>
          <w:u w:color="1B3C84"/>
        </w:rPr>
      </w:pPr>
    </w:p>
    <w:p w:rsidR="00893323" w:rsidRDefault="00F60FA2" w:rsidP="007222CD">
      <w:pPr>
        <w:widowControl w:val="0"/>
        <w:pBdr>
          <w:bottom w:val="single" w:sz="12" w:space="1" w:color="auto"/>
        </w:pBdr>
        <w:autoSpaceDE w:val="0"/>
        <w:autoSpaceDN w:val="0"/>
        <w:adjustRightInd w:val="0"/>
        <w:spacing w:after="0" w:line="240" w:lineRule="auto"/>
        <w:rPr>
          <w:rFonts w:ascii="Arial" w:hAnsi="Arial" w:cs="Arial"/>
          <w:u w:color="1B3C84"/>
        </w:rPr>
      </w:pPr>
      <w:r w:rsidRPr="008272BD">
        <w:rPr>
          <w:rFonts w:ascii="Arial" w:hAnsi="Arial" w:cs="Arial"/>
          <w:u w:color="1B3C84"/>
        </w:rPr>
        <w:t>ASCLS will be watching potential legislative action and paying particular attention to how the fix might impact laboratory reimbursement levels.</w:t>
      </w:r>
    </w:p>
    <w:p w:rsidR="008C35BA" w:rsidRPr="008272BD" w:rsidRDefault="008C35BA" w:rsidP="007222CD">
      <w:pPr>
        <w:widowControl w:val="0"/>
        <w:pBdr>
          <w:bottom w:val="single" w:sz="12" w:space="1" w:color="auto"/>
        </w:pBdr>
        <w:autoSpaceDE w:val="0"/>
        <w:autoSpaceDN w:val="0"/>
        <w:adjustRightInd w:val="0"/>
        <w:spacing w:after="0" w:line="240" w:lineRule="auto"/>
        <w:rPr>
          <w:rFonts w:ascii="Arial" w:hAnsi="Arial" w:cs="Arial"/>
          <w:u w:color="1B3C84"/>
        </w:rPr>
      </w:pPr>
    </w:p>
    <w:p w:rsidR="00893323" w:rsidRDefault="00DE5B3A" w:rsidP="002165F7">
      <w:pPr>
        <w:spacing w:after="0" w:line="240" w:lineRule="auto"/>
        <w:rPr>
          <w:rFonts w:ascii="Arial" w:hAnsi="Arial" w:cs="Arial"/>
          <w:b/>
          <w:sz w:val="28"/>
          <w:szCs w:val="28"/>
        </w:rPr>
      </w:pPr>
      <w:r>
        <w:rPr>
          <w:rFonts w:ascii="Arial" w:hAnsi="Arial" w:cs="Arial"/>
          <w:b/>
          <w:sz w:val="28"/>
          <w:szCs w:val="28"/>
        </w:rPr>
        <w:t>GAC 2013-2014 Regional Liaisons</w:t>
      </w:r>
    </w:p>
    <w:p w:rsidR="00DE5B3A" w:rsidRPr="008C35BA" w:rsidRDefault="00DE5B3A" w:rsidP="002165F7">
      <w:pPr>
        <w:spacing w:after="0" w:line="240" w:lineRule="auto"/>
        <w:rPr>
          <w:rFonts w:ascii="Arial" w:hAnsi="Arial" w:cs="Arial"/>
          <w:sz w:val="20"/>
          <w:szCs w:val="20"/>
        </w:rPr>
      </w:pPr>
    </w:p>
    <w:p w:rsidR="00DE5B3A" w:rsidRPr="008C35BA" w:rsidRDefault="00DE5B3A" w:rsidP="002165F7">
      <w:pPr>
        <w:spacing w:after="0" w:line="240" w:lineRule="auto"/>
        <w:rPr>
          <w:rFonts w:ascii="Arial" w:hAnsi="Arial" w:cs="Arial"/>
          <w:sz w:val="20"/>
          <w:szCs w:val="20"/>
        </w:rPr>
      </w:pPr>
      <w:r w:rsidRPr="008C35BA">
        <w:rPr>
          <w:rFonts w:ascii="Arial" w:hAnsi="Arial" w:cs="Arial"/>
          <w:sz w:val="20"/>
          <w:szCs w:val="20"/>
        </w:rPr>
        <w:t>For the coming year the following GAC committee members have been assigned to be your regional liaisons.  They will be communicating with your state GAC liaisons and our ASCLS membership.</w:t>
      </w:r>
    </w:p>
    <w:p w:rsidR="00DE5B3A" w:rsidRPr="004C2847" w:rsidRDefault="00867186" w:rsidP="008C35BA">
      <w:pPr>
        <w:spacing w:after="0"/>
        <w:ind w:left="720"/>
        <w:rPr>
          <w:rFonts w:ascii="Arial" w:hAnsi="Arial" w:cs="Arial"/>
          <w:b/>
          <w:bCs/>
          <w:sz w:val="24"/>
          <w:szCs w:val="24"/>
        </w:rPr>
      </w:pPr>
      <w:r>
        <w:rPr>
          <w:rFonts w:ascii="Arial" w:hAnsi="Arial" w:cs="Arial"/>
          <w:b/>
          <w:bCs/>
          <w:i/>
          <w:sz w:val="24"/>
          <w:szCs w:val="24"/>
        </w:rPr>
        <w:t>2013-2014</w:t>
      </w:r>
      <w:r w:rsidR="00DE5B3A" w:rsidRPr="004C2847">
        <w:rPr>
          <w:rFonts w:ascii="Arial" w:hAnsi="Arial" w:cs="Arial"/>
          <w:b/>
          <w:bCs/>
          <w:i/>
          <w:sz w:val="24"/>
          <w:szCs w:val="24"/>
        </w:rPr>
        <w:t xml:space="preserve"> assignments: </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Region I – Leslie Martineau</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Region II – Kyle Riding</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 xml:space="preserve">Region III – Angela Phillips </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Region IV – Linda Goossen</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Region V - Lori Murray</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 xml:space="preserve">Region VI – John Koenig </w:t>
      </w:r>
    </w:p>
    <w:p w:rsidR="00DE5B3A" w:rsidRPr="008C35BA" w:rsidRDefault="00DE5B3A" w:rsidP="008C35BA">
      <w:pPr>
        <w:spacing w:after="0"/>
        <w:ind w:left="720"/>
        <w:rPr>
          <w:rFonts w:ascii="Arial" w:hAnsi="Arial" w:cs="Arial"/>
          <w:bCs/>
          <w:i/>
          <w:sz w:val="20"/>
          <w:szCs w:val="20"/>
          <w:lang w:val="de-DE"/>
        </w:rPr>
      </w:pPr>
      <w:r w:rsidRPr="008C35BA">
        <w:rPr>
          <w:rFonts w:ascii="Arial" w:hAnsi="Arial" w:cs="Arial"/>
          <w:bCs/>
          <w:i/>
          <w:sz w:val="20"/>
          <w:szCs w:val="20"/>
          <w:lang w:val="de-DE"/>
        </w:rPr>
        <w:t>Region VII – Becky See</w:t>
      </w:r>
    </w:p>
    <w:p w:rsidR="00DE5B3A" w:rsidRPr="008C35BA" w:rsidRDefault="00DE5B3A" w:rsidP="008C35BA">
      <w:pPr>
        <w:spacing w:after="0"/>
        <w:ind w:left="720"/>
        <w:rPr>
          <w:rFonts w:ascii="Arial" w:hAnsi="Arial" w:cs="Arial"/>
          <w:bCs/>
          <w:i/>
          <w:sz w:val="20"/>
          <w:szCs w:val="20"/>
          <w:lang w:val="de-DE"/>
        </w:rPr>
      </w:pPr>
      <w:r w:rsidRPr="008C35BA">
        <w:rPr>
          <w:rFonts w:ascii="Arial" w:hAnsi="Arial" w:cs="Arial"/>
          <w:bCs/>
          <w:i/>
          <w:sz w:val="20"/>
          <w:szCs w:val="20"/>
          <w:lang w:val="de-DE"/>
        </w:rPr>
        <w:t>Region VIII – Debbie Shell</w:t>
      </w:r>
    </w:p>
    <w:p w:rsidR="00DE5B3A" w:rsidRPr="008C35BA" w:rsidRDefault="00DE5B3A" w:rsidP="008C35BA">
      <w:pPr>
        <w:spacing w:after="0"/>
        <w:ind w:left="720"/>
        <w:rPr>
          <w:rFonts w:ascii="Arial" w:hAnsi="Arial" w:cs="Arial"/>
          <w:bCs/>
          <w:i/>
          <w:sz w:val="20"/>
          <w:szCs w:val="20"/>
          <w:lang w:val="de-DE"/>
        </w:rPr>
      </w:pPr>
      <w:r w:rsidRPr="008C35BA">
        <w:rPr>
          <w:rFonts w:ascii="Arial" w:hAnsi="Arial" w:cs="Arial"/>
          <w:bCs/>
          <w:i/>
          <w:sz w:val="20"/>
          <w:szCs w:val="20"/>
          <w:lang w:val="de-DE"/>
        </w:rPr>
        <w:t>Region IX – Donna Reinbold</w:t>
      </w:r>
    </w:p>
    <w:p w:rsidR="00DE5B3A" w:rsidRPr="008C35BA" w:rsidRDefault="00DE5B3A" w:rsidP="008C35BA">
      <w:pPr>
        <w:spacing w:after="0"/>
        <w:ind w:left="720"/>
        <w:rPr>
          <w:rFonts w:ascii="Arial" w:hAnsi="Arial" w:cs="Arial"/>
          <w:bCs/>
          <w:i/>
          <w:sz w:val="20"/>
          <w:szCs w:val="20"/>
          <w:lang w:val="de-DE"/>
        </w:rPr>
      </w:pPr>
      <w:r w:rsidRPr="008C35BA">
        <w:rPr>
          <w:rFonts w:ascii="Arial" w:hAnsi="Arial" w:cs="Arial"/>
          <w:bCs/>
          <w:i/>
          <w:sz w:val="20"/>
          <w:szCs w:val="20"/>
          <w:lang w:val="de-DE"/>
        </w:rPr>
        <w:t>Region X – Josh Pulido</w:t>
      </w:r>
    </w:p>
    <w:p w:rsidR="00DE5B3A" w:rsidRPr="008C35BA" w:rsidRDefault="00DE5B3A" w:rsidP="008C35BA">
      <w:pPr>
        <w:spacing w:after="0"/>
        <w:ind w:left="720"/>
        <w:rPr>
          <w:rFonts w:ascii="Arial" w:hAnsi="Arial" w:cs="Arial"/>
          <w:bCs/>
          <w:i/>
          <w:sz w:val="20"/>
          <w:szCs w:val="20"/>
        </w:rPr>
      </w:pPr>
      <w:r w:rsidRPr="008C35BA">
        <w:rPr>
          <w:rFonts w:ascii="Arial" w:hAnsi="Arial" w:cs="Arial"/>
          <w:bCs/>
          <w:i/>
          <w:sz w:val="20"/>
          <w:szCs w:val="20"/>
        </w:rPr>
        <w:t>Student and New Professional Liaison - Theresa Fruehling</w:t>
      </w:r>
    </w:p>
    <w:p w:rsidR="00DE5B3A" w:rsidRPr="008C35BA" w:rsidRDefault="00DE5B3A" w:rsidP="00DE5B3A">
      <w:pPr>
        <w:spacing w:after="0" w:line="240" w:lineRule="auto"/>
        <w:rPr>
          <w:rFonts w:ascii="Times New Roman" w:hAnsi="Times New Roman"/>
          <w:sz w:val="20"/>
          <w:szCs w:val="20"/>
        </w:rPr>
      </w:pPr>
    </w:p>
    <w:p w:rsidR="00D61A39" w:rsidRPr="008C35BA" w:rsidRDefault="00D61A39" w:rsidP="00401CF6">
      <w:pPr>
        <w:spacing w:after="0" w:line="240" w:lineRule="auto"/>
        <w:rPr>
          <w:rFonts w:ascii="Times New Roman" w:hAnsi="Times New Roman"/>
          <w:sz w:val="20"/>
          <w:szCs w:val="20"/>
        </w:rPr>
      </w:pPr>
      <w:r w:rsidRPr="008C35BA">
        <w:rPr>
          <w:rFonts w:ascii="Arial" w:hAnsi="Arial" w:cs="Arial"/>
          <w:sz w:val="20"/>
          <w:szCs w:val="20"/>
        </w:rPr>
        <w:t>Rick Panning</w:t>
      </w:r>
      <w:r w:rsidR="0014421F" w:rsidRPr="008C35BA">
        <w:rPr>
          <w:rFonts w:ascii="Arial" w:hAnsi="Arial" w:cs="Arial"/>
          <w:sz w:val="20"/>
          <w:szCs w:val="20"/>
        </w:rPr>
        <w:t xml:space="preserve">, GAC </w:t>
      </w:r>
      <w:r w:rsidR="00BE0100" w:rsidRPr="008C35BA">
        <w:rPr>
          <w:rFonts w:ascii="Arial" w:hAnsi="Arial" w:cs="Arial"/>
          <w:sz w:val="20"/>
          <w:szCs w:val="20"/>
        </w:rPr>
        <w:t>e-newsletter editor (</w:t>
      </w:r>
      <w:r w:rsidR="00DE5B3A" w:rsidRPr="008C35BA">
        <w:rPr>
          <w:rFonts w:ascii="Arial" w:hAnsi="Arial" w:cs="Arial"/>
          <w:sz w:val="20"/>
          <w:szCs w:val="20"/>
        </w:rPr>
        <w:t>2013-2014</w:t>
      </w:r>
      <w:r w:rsidR="00BE0100" w:rsidRPr="008C35BA">
        <w:rPr>
          <w:rFonts w:ascii="Arial" w:hAnsi="Arial" w:cs="Arial"/>
          <w:sz w:val="20"/>
          <w:szCs w:val="20"/>
        </w:rPr>
        <w:t>)</w:t>
      </w:r>
    </w:p>
    <w:p w:rsidR="00747039" w:rsidRPr="008C35BA" w:rsidRDefault="00FA2F25">
      <w:pPr>
        <w:rPr>
          <w:rFonts w:ascii="Arial" w:hAnsi="Arial" w:cs="Arial"/>
          <w:sz w:val="20"/>
          <w:szCs w:val="20"/>
        </w:rPr>
      </w:pPr>
      <w:hyperlink r:id="rId9" w:history="1">
        <w:r w:rsidR="00DE5B3A" w:rsidRPr="008C35BA">
          <w:rPr>
            <w:rStyle w:val="Hyperlink"/>
            <w:rFonts w:ascii="Arial" w:hAnsi="Arial" w:cs="Arial"/>
            <w:sz w:val="20"/>
            <w:szCs w:val="20"/>
          </w:rPr>
          <w:t>rpannin1@fairview.org</w:t>
        </w:r>
      </w:hyperlink>
    </w:p>
    <w:sectPr w:rsidR="00747039" w:rsidRPr="008C35BA" w:rsidSect="00747039">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D96006"/>
    <w:multiLevelType w:val="hybridMultilevel"/>
    <w:tmpl w:val="365E3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78DB"/>
    <w:multiLevelType w:val="multilevel"/>
    <w:tmpl w:val="CD2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31816"/>
    <w:multiLevelType w:val="hybridMultilevel"/>
    <w:tmpl w:val="71F2E51A"/>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tabs>
          <w:tab w:val="num" w:pos="1500"/>
        </w:tabs>
        <w:ind w:left="1500" w:hanging="360"/>
      </w:pPr>
      <w:rPr>
        <w:rFonts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3F7B00C5"/>
    <w:multiLevelType w:val="hybridMultilevel"/>
    <w:tmpl w:val="4C1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F5838"/>
    <w:multiLevelType w:val="hybridMultilevel"/>
    <w:tmpl w:val="262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A54B4"/>
    <w:multiLevelType w:val="hybridMultilevel"/>
    <w:tmpl w:val="991A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E5CC7"/>
    <w:multiLevelType w:val="hybridMultilevel"/>
    <w:tmpl w:val="35102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A52EF"/>
    <w:multiLevelType w:val="hybridMultilevel"/>
    <w:tmpl w:val="C2C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A4BF7"/>
    <w:multiLevelType w:val="hybridMultilevel"/>
    <w:tmpl w:val="2F22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D3948"/>
    <w:multiLevelType w:val="hybridMultilevel"/>
    <w:tmpl w:val="03F8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CF0EF5"/>
    <w:multiLevelType w:val="hybridMultilevel"/>
    <w:tmpl w:val="1856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9"/>
  </w:num>
  <w:num w:numId="5">
    <w:abstractNumId w:val="3"/>
  </w:num>
  <w:num w:numId="6">
    <w:abstractNumId w:val="8"/>
  </w:num>
  <w:num w:numId="7">
    <w:abstractNumId w:val="11"/>
  </w:num>
  <w:num w:numId="8">
    <w:abstractNumId w:val="0"/>
  </w:num>
  <w:num w:numId="9">
    <w:abstractNumId w:val="1"/>
  </w:num>
  <w:num w:numId="10">
    <w:abstractNumId w:val="2"/>
  </w:num>
  <w:num w:numId="11">
    <w:abstractNumId w:val="13"/>
  </w:num>
  <w:num w:numId="12">
    <w:abstractNumId w:val="6"/>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01CF6"/>
    <w:rsid w:val="00021391"/>
    <w:rsid w:val="00053B45"/>
    <w:rsid w:val="00056B46"/>
    <w:rsid w:val="000B2160"/>
    <w:rsid w:val="000E7008"/>
    <w:rsid w:val="00122AB5"/>
    <w:rsid w:val="0014421F"/>
    <w:rsid w:val="00144922"/>
    <w:rsid w:val="00186755"/>
    <w:rsid w:val="00202CDD"/>
    <w:rsid w:val="002165F7"/>
    <w:rsid w:val="002333E8"/>
    <w:rsid w:val="00291584"/>
    <w:rsid w:val="002B4916"/>
    <w:rsid w:val="002C1521"/>
    <w:rsid w:val="00355C17"/>
    <w:rsid w:val="00377DB5"/>
    <w:rsid w:val="00380BBD"/>
    <w:rsid w:val="00395A16"/>
    <w:rsid w:val="003B32B4"/>
    <w:rsid w:val="003C00C5"/>
    <w:rsid w:val="003D3674"/>
    <w:rsid w:val="00401CF6"/>
    <w:rsid w:val="00434467"/>
    <w:rsid w:val="004419EE"/>
    <w:rsid w:val="004600FF"/>
    <w:rsid w:val="004B186D"/>
    <w:rsid w:val="004C2847"/>
    <w:rsid w:val="004C61BE"/>
    <w:rsid w:val="00526C50"/>
    <w:rsid w:val="00576369"/>
    <w:rsid w:val="005C3623"/>
    <w:rsid w:val="005D0370"/>
    <w:rsid w:val="006227F4"/>
    <w:rsid w:val="0070209C"/>
    <w:rsid w:val="007222CD"/>
    <w:rsid w:val="00747039"/>
    <w:rsid w:val="00775B7A"/>
    <w:rsid w:val="00782DF6"/>
    <w:rsid w:val="00786AC2"/>
    <w:rsid w:val="008272BD"/>
    <w:rsid w:val="00867186"/>
    <w:rsid w:val="00893323"/>
    <w:rsid w:val="008C35BA"/>
    <w:rsid w:val="00990CED"/>
    <w:rsid w:val="009959C1"/>
    <w:rsid w:val="009C304A"/>
    <w:rsid w:val="00A42E89"/>
    <w:rsid w:val="00AB3490"/>
    <w:rsid w:val="00AD3932"/>
    <w:rsid w:val="00B175F2"/>
    <w:rsid w:val="00B26CD7"/>
    <w:rsid w:val="00B53361"/>
    <w:rsid w:val="00B76A34"/>
    <w:rsid w:val="00B819E5"/>
    <w:rsid w:val="00BC513C"/>
    <w:rsid w:val="00BE0100"/>
    <w:rsid w:val="00BF14B6"/>
    <w:rsid w:val="00BF7634"/>
    <w:rsid w:val="00C07A71"/>
    <w:rsid w:val="00C35F47"/>
    <w:rsid w:val="00C7423E"/>
    <w:rsid w:val="00C87A8E"/>
    <w:rsid w:val="00C97AB9"/>
    <w:rsid w:val="00CA39FF"/>
    <w:rsid w:val="00D06E14"/>
    <w:rsid w:val="00D121A0"/>
    <w:rsid w:val="00D21882"/>
    <w:rsid w:val="00D25BE4"/>
    <w:rsid w:val="00D32AC2"/>
    <w:rsid w:val="00D61A39"/>
    <w:rsid w:val="00D870E6"/>
    <w:rsid w:val="00DE5B3A"/>
    <w:rsid w:val="00E057DF"/>
    <w:rsid w:val="00E10331"/>
    <w:rsid w:val="00E95523"/>
    <w:rsid w:val="00EC67EE"/>
    <w:rsid w:val="00EE093F"/>
    <w:rsid w:val="00F355D7"/>
    <w:rsid w:val="00F60FA2"/>
    <w:rsid w:val="00FA2F25"/>
    <w:rsid w:val="00FA79BD"/>
    <w:rsid w:val="00FC160C"/>
    <w:rsid w:val="00FC6E4D"/>
    <w:rsid w:val="00FF27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 w:type="paragraph" w:customStyle="1" w:styleId="Default">
    <w:name w:val="Default"/>
    <w:basedOn w:val="Normal"/>
    <w:rsid w:val="00D32AC2"/>
    <w:pPr>
      <w:autoSpaceDE w:val="0"/>
      <w:autoSpaceDN w:val="0"/>
      <w:spacing w:after="0" w:line="240" w:lineRule="auto"/>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s>
</file>

<file path=word/webSettings.xml><?xml version="1.0" encoding="utf-8"?>
<w:webSettings xmlns:r="http://schemas.openxmlformats.org/officeDocument/2006/relationships" xmlns:w="http://schemas.openxmlformats.org/wordprocessingml/2006/main">
  <w:divs>
    <w:div w:id="700010252">
      <w:marLeft w:val="0"/>
      <w:marRight w:val="0"/>
      <w:marTop w:val="0"/>
      <w:marBottom w:val="0"/>
      <w:divBdr>
        <w:top w:val="none" w:sz="0" w:space="0" w:color="auto"/>
        <w:left w:val="none" w:sz="0" w:space="0" w:color="auto"/>
        <w:bottom w:val="none" w:sz="0" w:space="0" w:color="auto"/>
        <w:right w:val="none" w:sz="0" w:space="0" w:color="auto"/>
      </w:divBdr>
      <w:divsChild>
        <w:div w:id="700010242">
          <w:marLeft w:val="0"/>
          <w:marRight w:val="0"/>
          <w:marTop w:val="0"/>
          <w:marBottom w:val="0"/>
          <w:divBdr>
            <w:top w:val="none" w:sz="0" w:space="0" w:color="auto"/>
            <w:left w:val="none" w:sz="0" w:space="0" w:color="auto"/>
            <w:bottom w:val="none" w:sz="0" w:space="0" w:color="auto"/>
            <w:right w:val="none" w:sz="0" w:space="0" w:color="auto"/>
          </w:divBdr>
        </w:div>
        <w:div w:id="700010243">
          <w:marLeft w:val="0"/>
          <w:marRight w:val="0"/>
          <w:marTop w:val="0"/>
          <w:marBottom w:val="0"/>
          <w:divBdr>
            <w:top w:val="none" w:sz="0" w:space="0" w:color="auto"/>
            <w:left w:val="none" w:sz="0" w:space="0" w:color="auto"/>
            <w:bottom w:val="none" w:sz="0" w:space="0" w:color="auto"/>
            <w:right w:val="none" w:sz="0" w:space="0" w:color="auto"/>
          </w:divBdr>
        </w:div>
        <w:div w:id="700010244">
          <w:marLeft w:val="0"/>
          <w:marRight w:val="0"/>
          <w:marTop w:val="0"/>
          <w:marBottom w:val="0"/>
          <w:divBdr>
            <w:top w:val="none" w:sz="0" w:space="0" w:color="auto"/>
            <w:left w:val="none" w:sz="0" w:space="0" w:color="auto"/>
            <w:bottom w:val="none" w:sz="0" w:space="0" w:color="auto"/>
            <w:right w:val="none" w:sz="0" w:space="0" w:color="auto"/>
          </w:divBdr>
        </w:div>
        <w:div w:id="700010245">
          <w:marLeft w:val="0"/>
          <w:marRight w:val="0"/>
          <w:marTop w:val="0"/>
          <w:marBottom w:val="0"/>
          <w:divBdr>
            <w:top w:val="none" w:sz="0" w:space="0" w:color="auto"/>
            <w:left w:val="none" w:sz="0" w:space="0" w:color="auto"/>
            <w:bottom w:val="none" w:sz="0" w:space="0" w:color="auto"/>
            <w:right w:val="none" w:sz="0" w:space="0" w:color="auto"/>
          </w:divBdr>
        </w:div>
        <w:div w:id="700010246">
          <w:marLeft w:val="0"/>
          <w:marRight w:val="0"/>
          <w:marTop w:val="0"/>
          <w:marBottom w:val="0"/>
          <w:divBdr>
            <w:top w:val="none" w:sz="0" w:space="0" w:color="auto"/>
            <w:left w:val="none" w:sz="0" w:space="0" w:color="auto"/>
            <w:bottom w:val="none" w:sz="0" w:space="0" w:color="auto"/>
            <w:right w:val="none" w:sz="0" w:space="0" w:color="auto"/>
          </w:divBdr>
        </w:div>
        <w:div w:id="700010247">
          <w:marLeft w:val="0"/>
          <w:marRight w:val="0"/>
          <w:marTop w:val="0"/>
          <w:marBottom w:val="0"/>
          <w:divBdr>
            <w:top w:val="none" w:sz="0" w:space="0" w:color="auto"/>
            <w:left w:val="none" w:sz="0" w:space="0" w:color="auto"/>
            <w:bottom w:val="none" w:sz="0" w:space="0" w:color="auto"/>
            <w:right w:val="none" w:sz="0" w:space="0" w:color="auto"/>
          </w:divBdr>
        </w:div>
        <w:div w:id="700010248">
          <w:marLeft w:val="0"/>
          <w:marRight w:val="0"/>
          <w:marTop w:val="0"/>
          <w:marBottom w:val="0"/>
          <w:divBdr>
            <w:top w:val="none" w:sz="0" w:space="0" w:color="auto"/>
            <w:left w:val="none" w:sz="0" w:space="0" w:color="auto"/>
            <w:bottom w:val="none" w:sz="0" w:space="0" w:color="auto"/>
            <w:right w:val="none" w:sz="0" w:space="0" w:color="auto"/>
          </w:divBdr>
        </w:div>
        <w:div w:id="700010249">
          <w:marLeft w:val="0"/>
          <w:marRight w:val="0"/>
          <w:marTop w:val="0"/>
          <w:marBottom w:val="0"/>
          <w:divBdr>
            <w:top w:val="none" w:sz="0" w:space="0" w:color="auto"/>
            <w:left w:val="none" w:sz="0" w:space="0" w:color="auto"/>
            <w:bottom w:val="none" w:sz="0" w:space="0" w:color="auto"/>
            <w:right w:val="none" w:sz="0" w:space="0" w:color="auto"/>
          </w:divBdr>
        </w:div>
        <w:div w:id="700010250">
          <w:marLeft w:val="0"/>
          <w:marRight w:val="0"/>
          <w:marTop w:val="0"/>
          <w:marBottom w:val="0"/>
          <w:divBdr>
            <w:top w:val="none" w:sz="0" w:space="0" w:color="auto"/>
            <w:left w:val="none" w:sz="0" w:space="0" w:color="auto"/>
            <w:bottom w:val="none" w:sz="0" w:space="0" w:color="auto"/>
            <w:right w:val="none" w:sz="0" w:space="0" w:color="auto"/>
          </w:divBdr>
        </w:div>
        <w:div w:id="700010251">
          <w:marLeft w:val="0"/>
          <w:marRight w:val="0"/>
          <w:marTop w:val="0"/>
          <w:marBottom w:val="0"/>
          <w:divBdr>
            <w:top w:val="none" w:sz="0" w:space="0" w:color="auto"/>
            <w:left w:val="none" w:sz="0" w:space="0" w:color="auto"/>
            <w:bottom w:val="none" w:sz="0" w:space="0" w:color="auto"/>
            <w:right w:val="none" w:sz="0" w:space="0" w:color="auto"/>
          </w:divBdr>
        </w:div>
        <w:div w:id="700010253">
          <w:marLeft w:val="0"/>
          <w:marRight w:val="0"/>
          <w:marTop w:val="0"/>
          <w:marBottom w:val="0"/>
          <w:divBdr>
            <w:top w:val="none" w:sz="0" w:space="0" w:color="auto"/>
            <w:left w:val="none" w:sz="0" w:space="0" w:color="auto"/>
            <w:bottom w:val="none" w:sz="0" w:space="0" w:color="auto"/>
            <w:right w:val="none" w:sz="0" w:space="0" w:color="auto"/>
          </w:divBdr>
        </w:div>
        <w:div w:id="700010254">
          <w:marLeft w:val="0"/>
          <w:marRight w:val="0"/>
          <w:marTop w:val="0"/>
          <w:marBottom w:val="0"/>
          <w:divBdr>
            <w:top w:val="none" w:sz="0" w:space="0" w:color="auto"/>
            <w:left w:val="none" w:sz="0" w:space="0" w:color="auto"/>
            <w:bottom w:val="none" w:sz="0" w:space="0" w:color="auto"/>
            <w:right w:val="none" w:sz="0" w:space="0" w:color="auto"/>
          </w:divBdr>
        </w:div>
        <w:div w:id="700010255">
          <w:marLeft w:val="0"/>
          <w:marRight w:val="0"/>
          <w:marTop w:val="0"/>
          <w:marBottom w:val="0"/>
          <w:divBdr>
            <w:top w:val="none" w:sz="0" w:space="0" w:color="auto"/>
            <w:left w:val="none" w:sz="0" w:space="0" w:color="auto"/>
            <w:bottom w:val="none" w:sz="0" w:space="0" w:color="auto"/>
            <w:right w:val="none" w:sz="0" w:space="0" w:color="auto"/>
          </w:divBdr>
        </w:div>
        <w:div w:id="700010256">
          <w:marLeft w:val="0"/>
          <w:marRight w:val="0"/>
          <w:marTop w:val="0"/>
          <w:marBottom w:val="0"/>
          <w:divBdr>
            <w:top w:val="none" w:sz="0" w:space="0" w:color="auto"/>
            <w:left w:val="none" w:sz="0" w:space="0" w:color="auto"/>
            <w:bottom w:val="none" w:sz="0" w:space="0" w:color="auto"/>
            <w:right w:val="none" w:sz="0" w:space="0" w:color="auto"/>
          </w:divBdr>
        </w:div>
        <w:div w:id="700010257">
          <w:marLeft w:val="0"/>
          <w:marRight w:val="0"/>
          <w:marTop w:val="0"/>
          <w:marBottom w:val="0"/>
          <w:divBdr>
            <w:top w:val="none" w:sz="0" w:space="0" w:color="auto"/>
            <w:left w:val="none" w:sz="0" w:space="0" w:color="auto"/>
            <w:bottom w:val="none" w:sz="0" w:space="0" w:color="auto"/>
            <w:right w:val="none" w:sz="0" w:space="0" w:color="auto"/>
          </w:divBdr>
        </w:div>
        <w:div w:id="700010258">
          <w:marLeft w:val="0"/>
          <w:marRight w:val="0"/>
          <w:marTop w:val="0"/>
          <w:marBottom w:val="0"/>
          <w:divBdr>
            <w:top w:val="none" w:sz="0" w:space="0" w:color="auto"/>
            <w:left w:val="none" w:sz="0" w:space="0" w:color="auto"/>
            <w:bottom w:val="none" w:sz="0" w:space="0" w:color="auto"/>
            <w:right w:val="none" w:sz="0" w:space="0" w:color="auto"/>
          </w:divBdr>
        </w:div>
        <w:div w:id="700010259">
          <w:marLeft w:val="0"/>
          <w:marRight w:val="0"/>
          <w:marTop w:val="0"/>
          <w:marBottom w:val="0"/>
          <w:divBdr>
            <w:top w:val="none" w:sz="0" w:space="0" w:color="auto"/>
            <w:left w:val="none" w:sz="0" w:space="0" w:color="auto"/>
            <w:bottom w:val="none" w:sz="0" w:space="0" w:color="auto"/>
            <w:right w:val="none" w:sz="0" w:space="0" w:color="auto"/>
          </w:divBdr>
        </w:div>
      </w:divsChild>
    </w:div>
    <w:div w:id="834801954">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 w:id="16726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ederalregister.gov/articles/2013/07/19/2013-16547/medicare-program-revisions-to-payment-policies-under-the-physician-fee-schedule-clinical-laboratory" TargetMode="External"/><Relationship Id="rId3" Type="http://schemas.openxmlformats.org/officeDocument/2006/relationships/styles" Target="styles.xml"/><Relationship Id="rId7" Type="http://schemas.openxmlformats.org/officeDocument/2006/relationships/hyperlink" Target="http://oig.hhs.gov/oei/reports/oei-07-11-00010.p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annin1@fairvi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37A5-AE15-4854-B04A-D5C9777E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1305</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To all ASCLS members:</vt:lpstr>
    </vt:vector>
  </TitlesOfParts>
  <Company>Hewlett-Packard</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ASCLS members:</dc:title>
  <dc:creator>Theresa R. Ortner</dc:creator>
  <cp:lastModifiedBy>elissap</cp:lastModifiedBy>
  <cp:revision>5</cp:revision>
  <cp:lastPrinted>2013-08-29T15:34:00Z</cp:lastPrinted>
  <dcterms:created xsi:type="dcterms:W3CDTF">2013-08-29T19:45:00Z</dcterms:created>
  <dcterms:modified xsi:type="dcterms:W3CDTF">2013-08-29T20:22:00Z</dcterms:modified>
</cp:coreProperties>
</file>